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A413" w14:textId="77777777" w:rsidR="003C440A" w:rsidRDefault="003C440A"/>
    <w:tbl>
      <w:tblPr>
        <w:tblStyle w:val="TableGrid"/>
        <w:tblpPr w:leftFromText="180" w:rightFromText="180" w:vertAnchor="text" w:horzAnchor="margin" w:tblpY="-372"/>
        <w:tblW w:w="0" w:type="auto"/>
        <w:tblLook w:val="04A0" w:firstRow="1" w:lastRow="0" w:firstColumn="1" w:lastColumn="0" w:noHBand="0" w:noVBand="1"/>
      </w:tblPr>
      <w:tblGrid>
        <w:gridCol w:w="3539"/>
        <w:gridCol w:w="3402"/>
        <w:gridCol w:w="3415"/>
      </w:tblGrid>
      <w:tr w:rsidR="00A9617B" w14:paraId="144A3F4F" w14:textId="77777777" w:rsidTr="000E4125">
        <w:tc>
          <w:tcPr>
            <w:tcW w:w="3539" w:type="dxa"/>
          </w:tcPr>
          <w:p w14:paraId="581F7D4C" w14:textId="77777777" w:rsidR="003C440A" w:rsidRDefault="003C440A" w:rsidP="003C6FBA">
            <w:pPr>
              <w:spacing w:line="240" w:lineRule="exact"/>
            </w:pPr>
          </w:p>
          <w:p w14:paraId="67FA6011" w14:textId="77777777" w:rsidR="00A9617B" w:rsidRDefault="00A9617B" w:rsidP="003C6FBA">
            <w:pPr>
              <w:spacing w:line="240" w:lineRule="exact"/>
            </w:pPr>
          </w:p>
          <w:p w14:paraId="575E20AE" w14:textId="77777777" w:rsidR="00A9617B" w:rsidRDefault="00A9617B" w:rsidP="003C6FBA">
            <w:pPr>
              <w:spacing w:line="240" w:lineRule="exact"/>
            </w:pPr>
          </w:p>
          <w:p w14:paraId="39D8F000" w14:textId="77777777" w:rsidR="00A9617B" w:rsidRDefault="00A9617B" w:rsidP="003C6FBA">
            <w:pPr>
              <w:spacing w:line="240" w:lineRule="exact"/>
            </w:pPr>
          </w:p>
          <w:p w14:paraId="7D331C06" w14:textId="77777777" w:rsidR="00A9617B" w:rsidRDefault="00A9617B" w:rsidP="003C6FBA">
            <w:pPr>
              <w:spacing w:line="240" w:lineRule="exact"/>
            </w:pPr>
          </w:p>
          <w:p w14:paraId="68B7D259" w14:textId="77777777" w:rsidR="00A9617B" w:rsidRDefault="00A9617B" w:rsidP="003C6FBA">
            <w:pPr>
              <w:spacing w:line="240" w:lineRule="exact"/>
            </w:pPr>
          </w:p>
          <w:p w14:paraId="7705AE43" w14:textId="77777777" w:rsidR="00A9617B" w:rsidRDefault="00A9617B" w:rsidP="003C6FBA">
            <w:pPr>
              <w:spacing w:line="240" w:lineRule="exact"/>
            </w:pPr>
          </w:p>
          <w:p w14:paraId="50CBD593" w14:textId="77777777" w:rsidR="00A9617B" w:rsidRDefault="00A9617B" w:rsidP="003C6FBA">
            <w:pPr>
              <w:spacing w:line="240" w:lineRule="exact"/>
            </w:pPr>
          </w:p>
          <w:p w14:paraId="41ADCEB4" w14:textId="3938BC65" w:rsidR="00A9617B" w:rsidRDefault="00A9617B" w:rsidP="003C6FBA">
            <w:pPr>
              <w:spacing w:line="240" w:lineRule="exact"/>
            </w:pPr>
            <w:r w:rsidRPr="008F2A59">
              <w:rPr>
                <w:rFonts w:ascii="Calibri" w:eastAsia="Calibri" w:hAnsi="Calibri" w:cs="Times New Roman"/>
                <w:noProof/>
                <w:lang w:eastAsia="en-AU"/>
              </w:rPr>
              <w:drawing>
                <wp:inline distT="0" distB="0" distL="0" distR="0" wp14:anchorId="7A43F972" wp14:editId="6D09C2DD">
                  <wp:extent cx="2082800" cy="1270000"/>
                  <wp:effectExtent l="0" t="0" r="0" b="0"/>
                  <wp:docPr id="9" name="Picture 9" descr="C:\Users\HP\AppData\Local\Microsoft\Windows\Temporary Internet Files\Content.Outlook\WE6FO21W\SCDLBA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WE6FO21W\SCDLBA logo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6480" cy="1327122"/>
                          </a:xfrm>
                          <a:prstGeom prst="rect">
                            <a:avLst/>
                          </a:prstGeom>
                          <a:noFill/>
                          <a:ln>
                            <a:noFill/>
                          </a:ln>
                        </pic:spPr>
                      </pic:pic>
                    </a:graphicData>
                  </a:graphic>
                </wp:inline>
              </w:drawing>
            </w:r>
          </w:p>
        </w:tc>
        <w:tc>
          <w:tcPr>
            <w:tcW w:w="3402" w:type="dxa"/>
          </w:tcPr>
          <w:p w14:paraId="3EF13560" w14:textId="77777777" w:rsidR="003C440A" w:rsidRDefault="003C440A" w:rsidP="003C440A">
            <w:pPr>
              <w:spacing w:line="185" w:lineRule="exact"/>
              <w:rPr>
                <w:rFonts w:ascii="Times New Roman" w:hAnsi="Times New Roman" w:cs="Times New Roman"/>
                <w:b/>
                <w:bCs/>
                <w:noProof/>
                <w:color w:val="548DD4" w:themeColor="text2" w:themeTint="99"/>
                <w:spacing w:val="-4"/>
                <w:sz w:val="16"/>
                <w:u w:val="single"/>
              </w:rPr>
            </w:pPr>
          </w:p>
          <w:p w14:paraId="22CEE9DE" w14:textId="34EB38DD" w:rsidR="000E4125" w:rsidRPr="00154D35" w:rsidRDefault="000E4125" w:rsidP="003C440A">
            <w:pPr>
              <w:spacing w:line="185" w:lineRule="exact"/>
              <w:rPr>
                <w:rFonts w:ascii="Times New Roman" w:hAnsi="Times New Roman" w:cs="Times New Roman"/>
                <w:b/>
                <w:bCs/>
                <w:noProof/>
                <w:color w:val="548DD4" w:themeColor="text2" w:themeTint="99"/>
                <w:spacing w:val="-4"/>
                <w:sz w:val="16"/>
                <w:u w:val="single"/>
              </w:rPr>
            </w:pPr>
            <w:r w:rsidRPr="00154D35">
              <w:rPr>
                <w:rFonts w:ascii="Times New Roman" w:hAnsi="Times New Roman" w:cs="Times New Roman"/>
                <w:b/>
                <w:bCs/>
                <w:noProof/>
                <w:color w:val="548DD4" w:themeColor="text2" w:themeTint="99"/>
                <w:spacing w:val="-4"/>
                <w:sz w:val="16"/>
                <w:u w:val="single"/>
              </w:rPr>
              <w:t>AFFILIATED CLUBS</w:t>
            </w:r>
          </w:p>
          <w:p w14:paraId="43D5AB60" w14:textId="304FB187" w:rsidR="000E4125" w:rsidRPr="000E4125" w:rsidRDefault="000E4125" w:rsidP="003C440A">
            <w:pPr>
              <w:spacing w:line="185" w:lineRule="exact"/>
              <w:rPr>
                <w:rFonts w:ascii="Calibri" w:hAnsi="Calibri" w:cs="Calibri"/>
                <w:b/>
                <w:bCs/>
                <w:noProof/>
                <w:color w:val="548DD4" w:themeColor="text2" w:themeTint="99"/>
                <w:spacing w:val="2"/>
                <w:sz w:val="16"/>
              </w:rPr>
            </w:pPr>
            <w:r w:rsidRPr="00154D35">
              <w:rPr>
                <w:rFonts w:ascii="Times New Roman" w:hAnsi="Times New Roman" w:cs="Times New Roman"/>
                <w:b/>
                <w:bCs/>
                <w:noProof/>
                <w:color w:val="548DD4" w:themeColor="text2" w:themeTint="99"/>
                <w:spacing w:val="-4"/>
                <w:sz w:val="16"/>
              </w:rPr>
              <w:t>BUDERIM,</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5"/>
                <w:sz w:val="16"/>
              </w:rPr>
              <w:t>COOLUM</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BEACH,</w:t>
            </w:r>
            <w:r w:rsidRPr="00154D35">
              <w:rPr>
                <w:rFonts w:ascii="Calibri" w:hAnsi="Calibri" w:cs="Calibri"/>
                <w:b/>
                <w:bCs/>
                <w:noProof/>
                <w:color w:val="548DD4" w:themeColor="text2" w:themeTint="99"/>
                <w:sz w:val="16"/>
              </w:rPr>
              <w:t> </w:t>
            </w:r>
            <w:r w:rsidRPr="00154D35">
              <w:rPr>
                <w:rFonts w:ascii="Times New Roman" w:hAnsi="Times New Roman" w:cs="Times New Roman"/>
                <w:b/>
                <w:bCs/>
                <w:noProof/>
                <w:color w:val="548DD4" w:themeColor="text2" w:themeTint="99"/>
                <w:spacing w:val="-4"/>
                <w:sz w:val="16"/>
              </w:rPr>
              <w:t xml:space="preserve">COOROY, </w:t>
            </w:r>
          </w:p>
          <w:p w14:paraId="3D6CC9DB" w14:textId="3EBD1667" w:rsidR="000E4125" w:rsidRPr="003C440A" w:rsidRDefault="000E4125" w:rsidP="003C440A">
            <w:pPr>
              <w:spacing w:line="185" w:lineRule="exact"/>
              <w:rPr>
                <w:b/>
                <w:bCs/>
                <w:color w:val="548DD4" w:themeColor="text2" w:themeTint="99"/>
              </w:rPr>
            </w:pPr>
            <w:r w:rsidRPr="00154D35">
              <w:rPr>
                <w:rFonts w:ascii="Times New Roman" w:hAnsi="Times New Roman" w:cs="Times New Roman"/>
                <w:b/>
                <w:bCs/>
                <w:noProof/>
                <w:color w:val="548DD4" w:themeColor="text2" w:themeTint="99"/>
                <w:spacing w:val="-4"/>
                <w:sz w:val="16"/>
              </w:rPr>
              <w:t>GLASSHOUSE COUNTRY,</w:t>
            </w:r>
            <w:r w:rsidR="003C440A">
              <w:rPr>
                <w:rFonts w:ascii="Times New Roman" w:hAnsi="Times New Roman" w:cs="Times New Roman"/>
                <w:b/>
                <w:bCs/>
                <w:noProof/>
                <w:color w:val="548DD4" w:themeColor="text2" w:themeTint="99"/>
                <w:spacing w:val="-4"/>
                <w:sz w:val="16"/>
              </w:rPr>
              <w:t xml:space="preserve"> </w:t>
            </w:r>
            <w:r w:rsidRPr="00154D35">
              <w:rPr>
                <w:rFonts w:ascii="Times New Roman" w:hAnsi="Times New Roman" w:cs="Times New Roman"/>
                <w:b/>
                <w:bCs/>
                <w:noProof/>
                <w:color w:val="548DD4" w:themeColor="text2" w:themeTint="99"/>
                <w:spacing w:val="-5"/>
                <w:sz w:val="16"/>
              </w:rPr>
              <w:t>HEADLAND PACIFIC,</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CLUB</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5"/>
                <w:sz w:val="16"/>
              </w:rPr>
              <w:t>KAWANA,</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5"/>
                <w:sz w:val="16"/>
              </w:rPr>
              <w:t>MALENY,</w:t>
            </w:r>
            <w:r w:rsidRPr="00154D35">
              <w:rPr>
                <w:rFonts w:ascii="Calibri" w:hAnsi="Calibri" w:cs="Calibri"/>
                <w:b/>
                <w:bCs/>
                <w:noProof/>
                <w:color w:val="548DD4" w:themeColor="text2" w:themeTint="99"/>
                <w:spacing w:val="2"/>
                <w:sz w:val="16"/>
              </w:rPr>
              <w:t> </w:t>
            </w:r>
          </w:p>
          <w:p w14:paraId="3E1103A3" w14:textId="771132CC" w:rsidR="000E4125" w:rsidRPr="003C440A" w:rsidRDefault="000E4125" w:rsidP="003C440A">
            <w:pPr>
              <w:spacing w:line="185" w:lineRule="exact"/>
              <w:rPr>
                <w:rFonts w:ascii="Calibri" w:hAnsi="Calibri" w:cs="Calibri"/>
                <w:b/>
                <w:bCs/>
                <w:noProof/>
                <w:color w:val="548DD4" w:themeColor="text2" w:themeTint="99"/>
                <w:spacing w:val="5"/>
                <w:sz w:val="16"/>
              </w:rPr>
            </w:pPr>
            <w:r w:rsidRPr="00154D35">
              <w:rPr>
                <w:rFonts w:ascii="Times New Roman" w:hAnsi="Times New Roman" w:cs="Times New Roman"/>
                <w:b/>
                <w:bCs/>
                <w:noProof/>
                <w:color w:val="548DD4" w:themeColor="text2" w:themeTint="99"/>
                <w:spacing w:val="-4"/>
                <w:sz w:val="16"/>
              </w:rPr>
              <w:t>MAPLETON,</w:t>
            </w:r>
            <w:r w:rsidRPr="00154D35">
              <w:rPr>
                <w:rFonts w:ascii="Calibri" w:hAnsi="Calibri" w:cs="Calibri"/>
                <w:b/>
                <w:bCs/>
                <w:noProof/>
                <w:color w:val="548DD4" w:themeColor="text2" w:themeTint="99"/>
                <w:spacing w:val="5"/>
                <w:sz w:val="16"/>
              </w:rPr>
              <w:t> </w:t>
            </w:r>
            <w:r w:rsidRPr="00154D35">
              <w:rPr>
                <w:rFonts w:ascii="Times New Roman" w:hAnsi="Times New Roman" w:cs="Times New Roman"/>
                <w:b/>
                <w:bCs/>
                <w:noProof/>
                <w:color w:val="548DD4" w:themeColor="text2" w:themeTint="99"/>
                <w:spacing w:val="-4"/>
                <w:sz w:val="16"/>
              </w:rPr>
              <w:t>CLUB</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MAROOCHY,</w:t>
            </w:r>
          </w:p>
          <w:p w14:paraId="78368867" w14:textId="77777777" w:rsidR="003C440A" w:rsidRDefault="000E4125" w:rsidP="003C440A">
            <w:pPr>
              <w:spacing w:line="182" w:lineRule="exact"/>
              <w:rPr>
                <w:rFonts w:ascii="Calibri" w:hAnsi="Calibri" w:cs="Calibri"/>
                <w:b/>
                <w:bCs/>
                <w:noProof/>
                <w:color w:val="548DD4" w:themeColor="text2" w:themeTint="99"/>
                <w:sz w:val="16"/>
              </w:rPr>
            </w:pPr>
            <w:r w:rsidRPr="00154D35">
              <w:rPr>
                <w:rFonts w:ascii="Times New Roman" w:hAnsi="Times New Roman" w:cs="Times New Roman"/>
                <w:b/>
                <w:bCs/>
                <w:noProof/>
                <w:color w:val="548DD4" w:themeColor="text2" w:themeTint="99"/>
                <w:spacing w:val="-5"/>
                <w:sz w:val="16"/>
              </w:rPr>
              <w:t>MOOLOOLABA,</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4"/>
                <w:sz w:val="16"/>
              </w:rPr>
              <w:t>NAMBOUR,</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4"/>
                <w:sz w:val="16"/>
              </w:rPr>
              <w:t>NAMBOUR</w:t>
            </w:r>
            <w:r w:rsidRPr="00154D35">
              <w:rPr>
                <w:rFonts w:ascii="Calibri" w:hAnsi="Calibri" w:cs="Calibri"/>
                <w:b/>
                <w:bCs/>
                <w:noProof/>
                <w:color w:val="548DD4" w:themeColor="text2" w:themeTint="99"/>
                <w:sz w:val="16"/>
              </w:rPr>
              <w:t> </w:t>
            </w:r>
          </w:p>
          <w:p w14:paraId="39356AC4" w14:textId="77777777" w:rsidR="003C440A" w:rsidRDefault="000E4125" w:rsidP="003C440A">
            <w:pPr>
              <w:spacing w:line="182" w:lineRule="exact"/>
              <w:rPr>
                <w:rFonts w:ascii="Calibri" w:hAnsi="Calibri" w:cs="Calibri"/>
                <w:b/>
                <w:bCs/>
                <w:noProof/>
                <w:color w:val="548DD4" w:themeColor="text2" w:themeTint="99"/>
                <w:spacing w:val="1"/>
                <w:sz w:val="16"/>
              </w:rPr>
            </w:pPr>
            <w:r w:rsidRPr="00154D35">
              <w:rPr>
                <w:rFonts w:ascii="Times New Roman" w:hAnsi="Times New Roman" w:cs="Times New Roman"/>
                <w:b/>
                <w:bCs/>
                <w:noProof/>
                <w:color w:val="548DD4" w:themeColor="text2" w:themeTint="99"/>
                <w:spacing w:val="-4"/>
                <w:sz w:val="16"/>
              </w:rPr>
              <w:t>HEIGHTS,</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5"/>
                <w:sz w:val="16"/>
              </w:rPr>
              <w:t>PALMWOODS,</w:t>
            </w:r>
            <w:r w:rsidRPr="00154D35">
              <w:rPr>
                <w:rFonts w:ascii="Calibri" w:hAnsi="Calibri" w:cs="Calibri"/>
                <w:b/>
                <w:bCs/>
                <w:noProof/>
                <w:color w:val="548DD4" w:themeColor="text2" w:themeTint="99"/>
                <w:spacing w:val="3"/>
                <w:sz w:val="16"/>
              </w:rPr>
              <w:t> </w:t>
            </w:r>
            <w:r w:rsidRPr="00154D35">
              <w:rPr>
                <w:rFonts w:ascii="Times New Roman" w:hAnsi="Times New Roman" w:cs="Times New Roman"/>
                <w:b/>
                <w:bCs/>
                <w:noProof/>
                <w:color w:val="548DD4" w:themeColor="text2" w:themeTint="99"/>
                <w:spacing w:val="-4"/>
                <w:sz w:val="16"/>
              </w:rPr>
              <w:t>PELICAN</w:t>
            </w:r>
            <w:r w:rsidRPr="00154D35">
              <w:rPr>
                <w:rFonts w:ascii="Calibri" w:hAnsi="Calibri" w:cs="Calibri"/>
                <w:b/>
                <w:bCs/>
                <w:noProof/>
                <w:color w:val="548DD4" w:themeColor="text2" w:themeTint="99"/>
                <w:spacing w:val="1"/>
                <w:sz w:val="16"/>
              </w:rPr>
              <w:t> </w:t>
            </w:r>
          </w:p>
          <w:p w14:paraId="08E10350" w14:textId="6CDF9528" w:rsidR="000E4125" w:rsidRPr="003C440A" w:rsidRDefault="000E4125" w:rsidP="003C440A">
            <w:pPr>
              <w:spacing w:line="182" w:lineRule="exact"/>
              <w:rPr>
                <w:rFonts w:ascii="Calibri" w:hAnsi="Calibri" w:cs="Calibri"/>
                <w:b/>
                <w:bCs/>
                <w:noProof/>
                <w:color w:val="548DD4" w:themeColor="text2" w:themeTint="99"/>
                <w:spacing w:val="2"/>
                <w:sz w:val="16"/>
              </w:rPr>
            </w:pPr>
            <w:r w:rsidRPr="00154D35">
              <w:rPr>
                <w:rFonts w:ascii="Times New Roman" w:hAnsi="Times New Roman" w:cs="Times New Roman"/>
                <w:b/>
                <w:bCs/>
                <w:noProof/>
                <w:color w:val="548DD4" w:themeColor="text2" w:themeTint="99"/>
                <w:spacing w:val="-4"/>
                <w:sz w:val="16"/>
              </w:rPr>
              <w:t>WATERS,</w:t>
            </w:r>
            <w:r w:rsidRPr="00154D35">
              <w:rPr>
                <w:rFonts w:ascii="Calibri" w:hAnsi="Calibri" w:cs="Calibri"/>
                <w:b/>
                <w:bCs/>
                <w:noProof/>
                <w:color w:val="548DD4" w:themeColor="text2" w:themeTint="99"/>
                <w:spacing w:val="2"/>
                <w:sz w:val="16"/>
              </w:rPr>
              <w:t> </w:t>
            </w:r>
            <w:r w:rsidRPr="00154D35">
              <w:rPr>
                <w:rFonts w:ascii="Times New Roman" w:hAnsi="Times New Roman" w:cs="Times New Roman"/>
                <w:b/>
                <w:bCs/>
                <w:noProof/>
                <w:color w:val="548DD4" w:themeColor="text2" w:themeTint="99"/>
                <w:spacing w:val="-4"/>
                <w:sz w:val="16"/>
              </w:rPr>
              <w:t>TEWANTIN</w:t>
            </w:r>
            <w:r w:rsidR="003C440A">
              <w:rPr>
                <w:rFonts w:ascii="Times New Roman" w:hAnsi="Times New Roman" w:cs="Times New Roman"/>
                <w:b/>
                <w:bCs/>
                <w:noProof/>
                <w:color w:val="548DD4" w:themeColor="text2" w:themeTint="99"/>
                <w:spacing w:val="-4"/>
                <w:sz w:val="16"/>
              </w:rPr>
              <w:t xml:space="preserve"> </w:t>
            </w:r>
            <w:r w:rsidRPr="00154D35">
              <w:rPr>
                <w:rFonts w:ascii="Times New Roman" w:hAnsi="Times New Roman" w:cs="Times New Roman"/>
                <w:b/>
                <w:bCs/>
                <w:noProof/>
                <w:color w:val="548DD4" w:themeColor="text2" w:themeTint="99"/>
                <w:spacing w:val="-4"/>
                <w:sz w:val="16"/>
              </w:rPr>
              <w:t>NOOSA,</w:t>
            </w:r>
            <w:r w:rsidRPr="00154D35">
              <w:rPr>
                <w:rFonts w:ascii="Calibri" w:hAnsi="Calibri" w:cs="Calibri"/>
                <w:b/>
                <w:bCs/>
                <w:noProof/>
                <w:color w:val="548DD4" w:themeColor="text2" w:themeTint="99"/>
                <w:spacing w:val="2"/>
                <w:sz w:val="16"/>
              </w:rPr>
              <w:t> </w:t>
            </w:r>
            <w:r w:rsidR="003C440A" w:rsidRPr="003C440A">
              <w:rPr>
                <w:rFonts w:ascii="Times New Roman" w:hAnsi="Times New Roman" w:cs="Times New Roman"/>
                <w:b/>
                <w:bCs/>
                <w:noProof/>
                <w:color w:val="548DD4" w:themeColor="text2" w:themeTint="99"/>
                <w:spacing w:val="2"/>
                <w:sz w:val="16"/>
              </w:rPr>
              <w:t>WAVES CALOUNDRA</w:t>
            </w:r>
            <w:r w:rsidR="002306D6">
              <w:rPr>
                <w:rFonts w:ascii="Times New Roman" w:hAnsi="Times New Roman" w:cs="Times New Roman"/>
                <w:b/>
                <w:bCs/>
                <w:noProof/>
                <w:color w:val="548DD4" w:themeColor="text2" w:themeTint="99"/>
                <w:spacing w:val="2"/>
                <w:sz w:val="16"/>
              </w:rPr>
              <w:t>,</w:t>
            </w:r>
            <w:r w:rsidR="003C440A" w:rsidRPr="003C440A">
              <w:rPr>
                <w:rFonts w:ascii="Times New Roman" w:hAnsi="Times New Roman" w:cs="Times New Roman"/>
                <w:b/>
                <w:bCs/>
                <w:noProof/>
                <w:color w:val="548DD4" w:themeColor="text2" w:themeTint="99"/>
                <w:spacing w:val="2"/>
                <w:sz w:val="16"/>
              </w:rPr>
              <w:t xml:space="preserve"> </w:t>
            </w:r>
            <w:r w:rsidRPr="003C440A">
              <w:rPr>
                <w:rFonts w:ascii="Times New Roman" w:hAnsi="Times New Roman" w:cs="Times New Roman"/>
                <w:b/>
                <w:bCs/>
                <w:noProof/>
                <w:color w:val="548DD4" w:themeColor="text2" w:themeTint="99"/>
                <w:spacing w:val="-4"/>
                <w:sz w:val="16"/>
              </w:rPr>
              <w:t>WOOMBYE,</w:t>
            </w:r>
            <w:r w:rsidRPr="003C440A">
              <w:rPr>
                <w:rFonts w:ascii="Times New Roman" w:hAnsi="Times New Roman" w:cs="Times New Roman"/>
                <w:b/>
                <w:bCs/>
                <w:noProof/>
                <w:color w:val="548DD4" w:themeColor="text2" w:themeTint="99"/>
                <w:spacing w:val="2"/>
                <w:sz w:val="16"/>
              </w:rPr>
              <w:t> </w:t>
            </w:r>
            <w:r w:rsidRPr="003C440A">
              <w:rPr>
                <w:rFonts w:ascii="Times New Roman" w:hAnsi="Times New Roman" w:cs="Times New Roman"/>
                <w:b/>
                <w:bCs/>
                <w:noProof/>
                <w:color w:val="548DD4" w:themeColor="text2" w:themeTint="99"/>
                <w:spacing w:val="-5"/>
                <w:sz w:val="16"/>
              </w:rPr>
              <w:t>YANDINA</w:t>
            </w:r>
          </w:p>
          <w:p w14:paraId="43DFA795" w14:textId="0C7E50C3" w:rsidR="003C6FBA" w:rsidRDefault="003C6FBA" w:rsidP="003C6FBA">
            <w:pPr>
              <w:spacing w:line="240" w:lineRule="exact"/>
            </w:pPr>
          </w:p>
        </w:tc>
        <w:tc>
          <w:tcPr>
            <w:tcW w:w="3415" w:type="dxa"/>
          </w:tcPr>
          <w:p w14:paraId="762CD0F3" w14:textId="27E90F37" w:rsidR="003C6FBA" w:rsidRDefault="003C6FBA" w:rsidP="003C6FBA">
            <w:pPr>
              <w:spacing w:line="240" w:lineRule="exact"/>
            </w:pPr>
            <w:r>
              <w:rPr>
                <w:noProof/>
                <w:lang w:val="en-AU" w:eastAsia="en-AU"/>
              </w:rPr>
              <w:drawing>
                <wp:anchor distT="0" distB="0" distL="114300" distR="114300" simplePos="0" relativeHeight="251660288" behindDoc="1" locked="0" layoutInCell="1" allowOverlap="1" wp14:anchorId="6B38E85E" wp14:editId="50E5238A">
                  <wp:simplePos x="0" y="0"/>
                  <wp:positionH relativeFrom="page">
                    <wp:posOffset>297604</wp:posOffset>
                  </wp:positionH>
                  <wp:positionV relativeFrom="page">
                    <wp:posOffset>34290</wp:posOffset>
                  </wp:positionV>
                  <wp:extent cx="1739900" cy="1485900"/>
                  <wp:effectExtent l="0" t="0" r="0" b="0"/>
                  <wp:wrapNone/>
                  <wp:docPr id="7"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485900"/>
                          </a:xfrm>
                          <a:prstGeom prst="rect">
                            <a:avLst/>
                          </a:prstGeom>
                          <a:noFill/>
                        </pic:spPr>
                      </pic:pic>
                    </a:graphicData>
                  </a:graphic>
                  <wp14:sizeRelH relativeFrom="page">
                    <wp14:pctWidth>0</wp14:pctWidth>
                  </wp14:sizeRelH>
                  <wp14:sizeRelV relativeFrom="page">
                    <wp14:pctHeight>0</wp14:pctHeight>
                  </wp14:sizeRelV>
                </wp:anchor>
              </w:drawing>
            </w:r>
          </w:p>
          <w:p w14:paraId="3058E19B" w14:textId="396506F6" w:rsidR="003C6FBA" w:rsidRDefault="003C6FBA" w:rsidP="003C6FBA">
            <w:pPr>
              <w:spacing w:line="240" w:lineRule="exact"/>
            </w:pPr>
          </w:p>
          <w:p w14:paraId="5CD3BD5D" w14:textId="7628315A" w:rsidR="003C6FBA" w:rsidRDefault="003C6FBA" w:rsidP="003C6FBA">
            <w:pPr>
              <w:spacing w:line="240" w:lineRule="exact"/>
            </w:pPr>
          </w:p>
          <w:p w14:paraId="4214929E" w14:textId="44EDCAC8" w:rsidR="003C6FBA" w:rsidRDefault="003C6FBA" w:rsidP="003C6FBA">
            <w:pPr>
              <w:spacing w:line="240" w:lineRule="exact"/>
            </w:pPr>
          </w:p>
          <w:p w14:paraId="2A499E94" w14:textId="59C92C2E" w:rsidR="003C6FBA" w:rsidRDefault="003C6FBA" w:rsidP="003C6FBA">
            <w:pPr>
              <w:spacing w:line="240" w:lineRule="exact"/>
            </w:pPr>
          </w:p>
          <w:p w14:paraId="15B0BBE7" w14:textId="38254291" w:rsidR="003C6FBA" w:rsidRDefault="003C6FBA" w:rsidP="003C6FBA">
            <w:pPr>
              <w:spacing w:line="240" w:lineRule="exact"/>
            </w:pPr>
          </w:p>
          <w:p w14:paraId="0877909E" w14:textId="6DF3AC00" w:rsidR="003C6FBA" w:rsidRDefault="003C6FBA" w:rsidP="003C6FBA">
            <w:pPr>
              <w:spacing w:line="240" w:lineRule="exact"/>
            </w:pPr>
          </w:p>
          <w:p w14:paraId="381A7B74" w14:textId="6AFEE9EE" w:rsidR="003C6FBA" w:rsidRDefault="003C6FBA" w:rsidP="003C6FBA">
            <w:pPr>
              <w:spacing w:line="240" w:lineRule="exact"/>
            </w:pPr>
          </w:p>
          <w:p w14:paraId="506132AA" w14:textId="77777777" w:rsidR="003C6FBA" w:rsidRDefault="003C6FBA" w:rsidP="003C6FBA">
            <w:pPr>
              <w:spacing w:line="240" w:lineRule="exact"/>
            </w:pPr>
          </w:p>
          <w:p w14:paraId="65554BCF" w14:textId="77777777" w:rsidR="003C6FBA" w:rsidRDefault="003C6FBA" w:rsidP="003C6FBA">
            <w:pPr>
              <w:spacing w:line="240" w:lineRule="exact"/>
            </w:pPr>
          </w:p>
        </w:tc>
      </w:tr>
    </w:tbl>
    <w:p w14:paraId="04471760" w14:textId="36D72D2E" w:rsidR="005A76FB" w:rsidRDefault="00000000" w:rsidP="007D5551">
      <w:pPr>
        <w:spacing w:after="0" w:line="240" w:lineRule="exact"/>
        <w:jc w:val="right"/>
      </w:pPr>
    </w:p>
    <w:p w14:paraId="70E4D36B" w14:textId="4CBA3F52" w:rsidR="00320480" w:rsidRPr="00320480" w:rsidRDefault="00320480" w:rsidP="00362EA6">
      <w:pPr>
        <w:spacing w:after="0" w:line="240" w:lineRule="exact"/>
        <w:rPr>
          <w:b/>
          <w:bCs/>
          <w:sz w:val="28"/>
          <w:szCs w:val="28"/>
          <w:u w:val="single"/>
        </w:rPr>
      </w:pPr>
      <w:r w:rsidRPr="00320480">
        <w:rPr>
          <w:b/>
          <w:bCs/>
          <w:sz w:val="28"/>
          <w:szCs w:val="28"/>
          <w:u w:val="single"/>
        </w:rPr>
        <w:t>SUNSHINE COAST DISTRICT BOWLS ASSOCIATION</w:t>
      </w:r>
      <w:r w:rsidR="00C31E13">
        <w:rPr>
          <w:b/>
          <w:bCs/>
          <w:sz w:val="28"/>
          <w:szCs w:val="28"/>
          <w:u w:val="single"/>
        </w:rPr>
        <w:t xml:space="preserve"> INC.</w:t>
      </w:r>
    </w:p>
    <w:p w14:paraId="66DF0512" w14:textId="77777777" w:rsidR="00320480" w:rsidRDefault="00320480" w:rsidP="00362EA6">
      <w:pPr>
        <w:spacing w:after="0" w:line="240" w:lineRule="exact"/>
        <w:rPr>
          <w:b/>
          <w:bCs/>
          <w:sz w:val="28"/>
          <w:szCs w:val="28"/>
          <w:u w:val="single"/>
        </w:rPr>
      </w:pPr>
    </w:p>
    <w:p w14:paraId="616AB05C" w14:textId="2D7EEB09" w:rsidR="00320480" w:rsidRPr="00320480" w:rsidRDefault="00320480" w:rsidP="00362EA6">
      <w:pPr>
        <w:spacing w:after="0" w:line="240" w:lineRule="exact"/>
        <w:rPr>
          <w:b/>
          <w:bCs/>
          <w:sz w:val="28"/>
          <w:szCs w:val="28"/>
          <w:u w:val="single"/>
        </w:rPr>
      </w:pPr>
      <w:r w:rsidRPr="00320480">
        <w:rPr>
          <w:b/>
          <w:bCs/>
          <w:sz w:val="28"/>
          <w:szCs w:val="28"/>
          <w:u w:val="single"/>
        </w:rPr>
        <w:t>POLICY 0</w:t>
      </w:r>
      <w:r w:rsidR="00C15281">
        <w:rPr>
          <w:b/>
          <w:bCs/>
          <w:sz w:val="28"/>
          <w:szCs w:val="28"/>
          <w:u w:val="single"/>
        </w:rPr>
        <w:t>3</w:t>
      </w:r>
      <w:r w:rsidRPr="00320480">
        <w:rPr>
          <w:b/>
          <w:bCs/>
          <w:sz w:val="28"/>
          <w:szCs w:val="28"/>
          <w:u w:val="single"/>
        </w:rPr>
        <w:t>/23</w:t>
      </w:r>
      <w:r w:rsidR="00C15281">
        <w:rPr>
          <w:b/>
          <w:bCs/>
          <w:sz w:val="28"/>
          <w:szCs w:val="28"/>
          <w:u w:val="single"/>
        </w:rPr>
        <w:t xml:space="preserve"> GRIEVANCE POLICY</w:t>
      </w:r>
    </w:p>
    <w:p w14:paraId="78B8A25D" w14:textId="46FEDCC5" w:rsidR="00320480" w:rsidRDefault="00320480" w:rsidP="00362EA6">
      <w:pPr>
        <w:spacing w:after="0" w:line="240" w:lineRule="exact"/>
      </w:pPr>
    </w:p>
    <w:p w14:paraId="4070A372" w14:textId="77777777" w:rsidR="00D07F4A" w:rsidRPr="006655EA" w:rsidRDefault="00D07F4A" w:rsidP="00D07F4A">
      <w:pPr>
        <w:spacing w:line="240" w:lineRule="auto"/>
        <w:rPr>
          <w:rFonts w:cstheme="minorHAnsi"/>
          <w:b/>
          <w:bCs/>
          <w:sz w:val="24"/>
          <w:szCs w:val="24"/>
          <w:u w:val="single"/>
        </w:rPr>
      </w:pPr>
      <w:r w:rsidRPr="006655EA">
        <w:rPr>
          <w:rFonts w:cstheme="minorHAnsi"/>
          <w:b/>
          <w:bCs/>
          <w:sz w:val="24"/>
          <w:szCs w:val="24"/>
          <w:u w:val="single"/>
        </w:rPr>
        <w:t>TABLE OF CONTENTS</w:t>
      </w:r>
    </w:p>
    <w:p w14:paraId="3C3B2042" w14:textId="77777777" w:rsidR="00D07F4A" w:rsidRPr="006655EA" w:rsidRDefault="00D07F4A" w:rsidP="00D07F4A">
      <w:pPr>
        <w:spacing w:line="240" w:lineRule="auto"/>
        <w:rPr>
          <w:rFonts w:cstheme="minorHAnsi"/>
          <w:sz w:val="24"/>
          <w:szCs w:val="24"/>
          <w:u w:val="single"/>
        </w:rPr>
      </w:pPr>
      <w:r w:rsidRPr="006655EA">
        <w:rPr>
          <w:rFonts w:cstheme="minorHAnsi"/>
          <w:b/>
          <w:bCs/>
          <w:sz w:val="24"/>
          <w:szCs w:val="24"/>
        </w:rPr>
        <w:tab/>
      </w:r>
      <w:r w:rsidRPr="006655EA">
        <w:rPr>
          <w:rFonts w:cstheme="minorHAnsi"/>
          <w:sz w:val="24"/>
          <w:szCs w:val="24"/>
          <w:u w:val="single"/>
        </w:rPr>
        <w:t>Rule</w:t>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u w:val="single"/>
        </w:rPr>
        <w:t>Page</w:t>
      </w:r>
    </w:p>
    <w:p w14:paraId="435167A2" w14:textId="5C2F44AB" w:rsidR="00D07F4A" w:rsidRPr="006655EA" w:rsidRDefault="00D07F4A" w:rsidP="00D07F4A">
      <w:pPr>
        <w:pStyle w:val="ListParagraph"/>
        <w:numPr>
          <w:ilvl w:val="0"/>
          <w:numId w:val="4"/>
        </w:numPr>
        <w:spacing w:line="240" w:lineRule="auto"/>
        <w:rPr>
          <w:rFonts w:cstheme="minorHAnsi"/>
          <w:sz w:val="24"/>
          <w:szCs w:val="24"/>
        </w:rPr>
      </w:pPr>
      <w:r>
        <w:rPr>
          <w:rFonts w:cstheme="minorHAnsi"/>
          <w:sz w:val="24"/>
          <w:szCs w:val="24"/>
        </w:rPr>
        <w:t>APPLICATION</w:t>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sidRPr="006655EA">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655EA">
        <w:rPr>
          <w:rFonts w:cstheme="minorHAnsi"/>
          <w:sz w:val="24"/>
          <w:szCs w:val="24"/>
        </w:rPr>
        <w:t>1</w:t>
      </w:r>
      <w:r w:rsidRPr="006655EA">
        <w:rPr>
          <w:rFonts w:cstheme="minorHAnsi"/>
          <w:sz w:val="24"/>
          <w:szCs w:val="24"/>
        </w:rPr>
        <w:tab/>
      </w:r>
      <w:r w:rsidRPr="006655EA">
        <w:rPr>
          <w:rFonts w:cstheme="minorHAnsi"/>
          <w:sz w:val="24"/>
          <w:szCs w:val="24"/>
        </w:rPr>
        <w:tab/>
      </w:r>
      <w:r w:rsidRPr="006655EA">
        <w:rPr>
          <w:rFonts w:cstheme="minorHAnsi"/>
          <w:sz w:val="24"/>
          <w:szCs w:val="24"/>
        </w:rPr>
        <w:tab/>
      </w:r>
    </w:p>
    <w:p w14:paraId="25017BA8" w14:textId="1494BFC2" w:rsidR="00D07F4A" w:rsidRPr="006655EA" w:rsidRDefault="002F0AAC" w:rsidP="00D07F4A">
      <w:pPr>
        <w:pStyle w:val="ListParagraph"/>
        <w:numPr>
          <w:ilvl w:val="0"/>
          <w:numId w:val="4"/>
        </w:numPr>
        <w:spacing w:line="240" w:lineRule="auto"/>
        <w:rPr>
          <w:rFonts w:cstheme="minorHAnsi"/>
          <w:sz w:val="24"/>
          <w:szCs w:val="24"/>
        </w:rPr>
      </w:pPr>
      <w:r>
        <w:rPr>
          <w:rFonts w:cstheme="minorHAnsi"/>
          <w:sz w:val="24"/>
          <w:szCs w:val="24"/>
        </w:rPr>
        <w:t>LODGING A COMPLAINT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Pr>
          <w:rFonts w:cstheme="minorHAnsi"/>
          <w:sz w:val="24"/>
          <w:szCs w:val="24"/>
        </w:rPr>
        <w:t>1</w:t>
      </w:r>
    </w:p>
    <w:p w14:paraId="44F1B2A6" w14:textId="79C01FE5" w:rsidR="00D07F4A" w:rsidRPr="006655EA" w:rsidRDefault="002F0AAC" w:rsidP="00D07F4A">
      <w:pPr>
        <w:pStyle w:val="ListParagraph"/>
        <w:numPr>
          <w:ilvl w:val="0"/>
          <w:numId w:val="4"/>
        </w:numPr>
        <w:spacing w:line="240" w:lineRule="auto"/>
        <w:rPr>
          <w:rFonts w:cstheme="minorHAnsi"/>
          <w:sz w:val="24"/>
          <w:szCs w:val="24"/>
        </w:rPr>
      </w:pPr>
      <w:r>
        <w:rPr>
          <w:rFonts w:cstheme="minorHAnsi"/>
          <w:sz w:val="24"/>
          <w:szCs w:val="24"/>
        </w:rPr>
        <w:t>HANDLING PROCEDURE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t>2</w:t>
      </w:r>
    </w:p>
    <w:p w14:paraId="075F6340" w14:textId="3E3678E2" w:rsidR="00D07F4A" w:rsidRPr="006655EA" w:rsidRDefault="0016767C" w:rsidP="00D07F4A">
      <w:pPr>
        <w:pStyle w:val="ListParagraph"/>
        <w:numPr>
          <w:ilvl w:val="0"/>
          <w:numId w:val="4"/>
        </w:numPr>
        <w:spacing w:line="240" w:lineRule="auto"/>
        <w:rPr>
          <w:rFonts w:cstheme="minorHAnsi"/>
          <w:sz w:val="24"/>
          <w:szCs w:val="24"/>
        </w:rPr>
      </w:pPr>
      <w:r>
        <w:rPr>
          <w:rFonts w:cstheme="minorHAnsi"/>
          <w:sz w:val="24"/>
          <w:szCs w:val="24"/>
        </w:rPr>
        <w:t>APPEALS PROCEDURE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sidR="00D07F4A" w:rsidRPr="006655EA">
        <w:rPr>
          <w:rFonts w:cstheme="minorHAnsi"/>
          <w:sz w:val="24"/>
          <w:szCs w:val="24"/>
        </w:rPr>
        <w:tab/>
      </w:r>
      <w:r>
        <w:rPr>
          <w:rFonts w:cstheme="minorHAnsi"/>
          <w:sz w:val="24"/>
          <w:szCs w:val="24"/>
        </w:rPr>
        <w:t>5</w:t>
      </w:r>
    </w:p>
    <w:p w14:paraId="2A67E620" w14:textId="3D908119" w:rsidR="0016767C" w:rsidRPr="00BF19CE" w:rsidRDefault="0016767C" w:rsidP="00BF19CE">
      <w:pPr>
        <w:pStyle w:val="ListParagraph"/>
        <w:numPr>
          <w:ilvl w:val="0"/>
          <w:numId w:val="4"/>
        </w:numPr>
        <w:spacing w:line="240" w:lineRule="auto"/>
        <w:rPr>
          <w:rFonts w:cstheme="minorHAnsi"/>
          <w:sz w:val="24"/>
          <w:szCs w:val="24"/>
        </w:rPr>
      </w:pPr>
      <w:r>
        <w:rPr>
          <w:rFonts w:cstheme="minorHAnsi"/>
          <w:sz w:val="24"/>
          <w:szCs w:val="24"/>
        </w:rPr>
        <w:t>IMPROPER COMPLAINTS OR VICTIMISATION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w:t>
      </w:r>
    </w:p>
    <w:p w14:paraId="3A68406E" w14:textId="4C7C8970" w:rsidR="00D07F4A" w:rsidRDefault="00D07F4A" w:rsidP="00362EA6">
      <w:pPr>
        <w:spacing w:after="0" w:line="240" w:lineRule="exact"/>
      </w:pPr>
    </w:p>
    <w:p w14:paraId="60B1607B" w14:textId="0FCF43E0" w:rsidR="00D07F4A" w:rsidRDefault="00D07F4A" w:rsidP="00362EA6">
      <w:pPr>
        <w:spacing w:after="0" w:line="240" w:lineRule="exact"/>
      </w:pPr>
    </w:p>
    <w:p w14:paraId="1D6B9F26" w14:textId="77777777" w:rsidR="00D07F4A" w:rsidRDefault="00D07F4A" w:rsidP="00362EA6">
      <w:pPr>
        <w:spacing w:after="0" w:line="240" w:lineRule="exact"/>
      </w:pPr>
    </w:p>
    <w:p w14:paraId="1C90AFBC" w14:textId="1DFA7775" w:rsidR="007D5551" w:rsidRPr="00D9345D" w:rsidRDefault="00320480" w:rsidP="00362EA6">
      <w:pPr>
        <w:spacing w:after="0" w:line="240" w:lineRule="exact"/>
        <w:rPr>
          <w:b/>
          <w:bCs/>
          <w:sz w:val="24"/>
          <w:szCs w:val="24"/>
          <w:u w:val="single"/>
        </w:rPr>
      </w:pPr>
      <w:r w:rsidRPr="00D9345D">
        <w:rPr>
          <w:b/>
          <w:bCs/>
          <w:sz w:val="24"/>
          <w:szCs w:val="24"/>
          <w:u w:val="single"/>
        </w:rPr>
        <w:t>Application</w:t>
      </w:r>
    </w:p>
    <w:p w14:paraId="32CEC69C" w14:textId="3D1BB8BA" w:rsidR="00135F12" w:rsidRDefault="00320480" w:rsidP="002561B6">
      <w:pPr>
        <w:spacing w:after="0" w:line="240" w:lineRule="auto"/>
        <w:rPr>
          <w:sz w:val="24"/>
          <w:szCs w:val="24"/>
        </w:rPr>
      </w:pPr>
      <w:r w:rsidRPr="00135F12">
        <w:rPr>
          <w:sz w:val="24"/>
          <w:szCs w:val="24"/>
        </w:rPr>
        <w:t>This policy applies to all personnel who represent the Association in any capacity</w:t>
      </w:r>
      <w:r w:rsidR="002561B6" w:rsidRPr="00135F12">
        <w:rPr>
          <w:sz w:val="24"/>
          <w:szCs w:val="24"/>
        </w:rPr>
        <w:t>, including the members of the Management Committee, the Patron, the Chairperson</w:t>
      </w:r>
      <w:r w:rsidR="00135F12" w:rsidRPr="00135F12">
        <w:rPr>
          <w:sz w:val="24"/>
          <w:szCs w:val="24"/>
        </w:rPr>
        <w:t xml:space="preserve"> and all </w:t>
      </w:r>
      <w:r w:rsidR="002561B6" w:rsidRPr="00135F12">
        <w:rPr>
          <w:sz w:val="24"/>
          <w:szCs w:val="24"/>
        </w:rPr>
        <w:t>members of sub-committees, Bowls Queensland delegates, member club delegates</w:t>
      </w:r>
      <w:r w:rsidR="00135F12" w:rsidRPr="00135F12">
        <w:rPr>
          <w:sz w:val="24"/>
          <w:szCs w:val="24"/>
        </w:rPr>
        <w:t xml:space="preserve"> and players and officials selected to represent the </w:t>
      </w:r>
      <w:r w:rsidR="00D32390" w:rsidRPr="00135F12">
        <w:rPr>
          <w:sz w:val="24"/>
          <w:szCs w:val="24"/>
        </w:rPr>
        <w:t>district</w:t>
      </w:r>
      <w:r w:rsidR="00135F12" w:rsidRPr="00135F12">
        <w:rPr>
          <w:sz w:val="24"/>
          <w:szCs w:val="24"/>
        </w:rPr>
        <w:t xml:space="preserve"> in any competition.</w:t>
      </w:r>
    </w:p>
    <w:p w14:paraId="43723BA2" w14:textId="106682F5" w:rsidR="00D0372C" w:rsidRDefault="00D0372C" w:rsidP="002561B6">
      <w:pPr>
        <w:spacing w:after="0" w:line="240" w:lineRule="auto"/>
        <w:rPr>
          <w:sz w:val="24"/>
          <w:szCs w:val="24"/>
        </w:rPr>
      </w:pPr>
    </w:p>
    <w:p w14:paraId="43075B13" w14:textId="7AED805D" w:rsidR="006655EA" w:rsidRDefault="00D0372C" w:rsidP="006655EA">
      <w:pPr>
        <w:spacing w:after="0" w:line="240" w:lineRule="auto"/>
        <w:rPr>
          <w:sz w:val="24"/>
          <w:szCs w:val="24"/>
        </w:rPr>
      </w:pPr>
      <w:r>
        <w:rPr>
          <w:sz w:val="24"/>
          <w:szCs w:val="24"/>
        </w:rPr>
        <w:t xml:space="preserve">This policy shall take effect from the date of the inaugural General Meeting of the SCDBA </w:t>
      </w:r>
      <w:r w:rsidR="00D32390">
        <w:rPr>
          <w:sz w:val="24"/>
          <w:szCs w:val="24"/>
        </w:rPr>
        <w:t xml:space="preserve">in 2023 </w:t>
      </w:r>
      <w:r>
        <w:rPr>
          <w:sz w:val="24"/>
          <w:szCs w:val="24"/>
        </w:rPr>
        <w:t xml:space="preserve">and remain in effect </w:t>
      </w:r>
      <w:r w:rsidR="00C31E13">
        <w:rPr>
          <w:sz w:val="24"/>
          <w:szCs w:val="24"/>
        </w:rPr>
        <w:t>indefinitely.</w:t>
      </w:r>
    </w:p>
    <w:p w14:paraId="04627A8E" w14:textId="716146CF" w:rsidR="006655EA" w:rsidRDefault="006655EA" w:rsidP="006655EA">
      <w:pPr>
        <w:spacing w:after="0" w:line="240" w:lineRule="auto"/>
        <w:rPr>
          <w:sz w:val="24"/>
          <w:szCs w:val="24"/>
        </w:rPr>
      </w:pPr>
    </w:p>
    <w:p w14:paraId="314EB04D" w14:textId="6C5DE73D" w:rsidR="002205CB" w:rsidRPr="00D9345D" w:rsidRDefault="00D9345D" w:rsidP="006655EA">
      <w:pPr>
        <w:spacing w:after="0" w:line="240" w:lineRule="auto"/>
        <w:rPr>
          <w:b/>
          <w:bCs/>
          <w:sz w:val="24"/>
          <w:szCs w:val="24"/>
          <w:u w:val="single"/>
        </w:rPr>
      </w:pPr>
      <w:r w:rsidRPr="00D9345D">
        <w:rPr>
          <w:b/>
          <w:bCs/>
          <w:sz w:val="24"/>
          <w:szCs w:val="24"/>
          <w:u w:val="single"/>
        </w:rPr>
        <w:t>Lodging a complaint</w:t>
      </w:r>
    </w:p>
    <w:p w14:paraId="3A12F29E" w14:textId="2C772647" w:rsidR="006655EA" w:rsidRPr="006655EA" w:rsidRDefault="006655EA" w:rsidP="006655EA">
      <w:pPr>
        <w:spacing w:line="240" w:lineRule="auto"/>
        <w:rPr>
          <w:rFonts w:cstheme="minorHAnsi"/>
          <w:sz w:val="24"/>
          <w:szCs w:val="24"/>
        </w:rPr>
      </w:pPr>
      <w:r w:rsidRPr="006655EA">
        <w:rPr>
          <w:rFonts w:cstheme="minorHAnsi"/>
          <w:sz w:val="24"/>
          <w:szCs w:val="24"/>
        </w:rPr>
        <w:t xml:space="preserve">When handling complaints, the Sunshine Coast District Bowls Association (SCDBA) aims to provide a simple, confidential, and trustworthy procedure for resolving complaints based on the principles of procedural fairness. </w:t>
      </w:r>
    </w:p>
    <w:p w14:paraId="1C2C674E" w14:textId="326D5714" w:rsidR="002F0AAC" w:rsidRPr="00824D5E" w:rsidRDefault="006655EA" w:rsidP="00824D5E">
      <w:pPr>
        <w:spacing w:line="240" w:lineRule="auto"/>
        <w:rPr>
          <w:rFonts w:cstheme="minorHAnsi"/>
          <w:sz w:val="24"/>
          <w:szCs w:val="24"/>
        </w:rPr>
      </w:pPr>
      <w:r w:rsidRPr="006655EA">
        <w:rPr>
          <w:rFonts w:cstheme="minorHAnsi"/>
          <w:sz w:val="24"/>
          <w:szCs w:val="24"/>
        </w:rPr>
        <w:t xml:space="preserve">Any person (a complainant) may report a complaint about a person, people or </w:t>
      </w:r>
      <w:proofErr w:type="spellStart"/>
      <w:r w:rsidRPr="006655EA">
        <w:rPr>
          <w:rFonts w:cstheme="minorHAnsi"/>
          <w:sz w:val="24"/>
          <w:szCs w:val="24"/>
        </w:rPr>
        <w:t>organisation</w:t>
      </w:r>
      <w:proofErr w:type="spellEnd"/>
      <w:r w:rsidRPr="006655EA">
        <w:rPr>
          <w:rFonts w:cstheme="minorHAnsi"/>
          <w:sz w:val="24"/>
          <w:szCs w:val="24"/>
        </w:rPr>
        <w:t xml:space="preserve"> bound by this policy (respondent) if they feel they have been discriminated against, harassed, bullied or there has been any other breach of this policy. </w:t>
      </w:r>
    </w:p>
    <w:p w14:paraId="131073A8" w14:textId="36C0C403" w:rsidR="006655EA" w:rsidRPr="006655EA" w:rsidRDefault="006655EA" w:rsidP="006655EA">
      <w:pPr>
        <w:spacing w:line="240" w:lineRule="auto"/>
        <w:rPr>
          <w:rFonts w:cstheme="minorHAnsi"/>
          <w:sz w:val="24"/>
          <w:szCs w:val="24"/>
        </w:rPr>
      </w:pPr>
      <w:r w:rsidRPr="006655EA">
        <w:rPr>
          <w:rFonts w:cstheme="minorHAnsi"/>
          <w:sz w:val="24"/>
          <w:szCs w:val="24"/>
        </w:rPr>
        <w:t xml:space="preserve">In the first instance, complaints should be reported at the SCDBA Secretary. If a complaint relates to </w:t>
      </w:r>
      <w:r w:rsidR="002205CB" w:rsidRPr="006655EA">
        <w:rPr>
          <w:rFonts w:cstheme="minorHAnsi"/>
          <w:sz w:val="24"/>
          <w:szCs w:val="24"/>
        </w:rPr>
        <w:t>behavior</w:t>
      </w:r>
      <w:r w:rsidRPr="006655EA">
        <w:rPr>
          <w:rFonts w:cstheme="minorHAnsi"/>
          <w:sz w:val="24"/>
          <w:szCs w:val="24"/>
        </w:rPr>
        <w:t xml:space="preserve"> or an incident that occurred at Club level, or involves people operating at the Club level, then the complaint should be reported to and handled by the relevant club in the first instance.</w:t>
      </w:r>
    </w:p>
    <w:p w14:paraId="2D14BDEA" w14:textId="77777777" w:rsidR="00BF19CE" w:rsidRDefault="00BF19CE" w:rsidP="00824D5E">
      <w:pPr>
        <w:spacing w:line="240" w:lineRule="auto"/>
        <w:jc w:val="center"/>
        <w:rPr>
          <w:rFonts w:cstheme="minorHAnsi"/>
          <w:b/>
          <w:bCs/>
          <w:sz w:val="24"/>
          <w:szCs w:val="24"/>
        </w:rPr>
      </w:pPr>
    </w:p>
    <w:p w14:paraId="042E40B5" w14:textId="6BB580A2" w:rsidR="00824D5E" w:rsidRPr="00824D5E" w:rsidRDefault="00824D5E" w:rsidP="00824D5E">
      <w:pPr>
        <w:spacing w:line="240" w:lineRule="auto"/>
        <w:jc w:val="center"/>
        <w:rPr>
          <w:rFonts w:cstheme="minorHAnsi"/>
          <w:b/>
          <w:bCs/>
          <w:sz w:val="24"/>
          <w:szCs w:val="24"/>
        </w:rPr>
      </w:pPr>
      <w:r>
        <w:rPr>
          <w:rFonts w:cstheme="minorHAnsi"/>
          <w:b/>
          <w:bCs/>
          <w:sz w:val="24"/>
          <w:szCs w:val="24"/>
        </w:rPr>
        <w:lastRenderedPageBreak/>
        <w:t>Page 2.</w:t>
      </w:r>
    </w:p>
    <w:p w14:paraId="17EECFD1" w14:textId="27B2748E" w:rsidR="006655EA" w:rsidRPr="006655EA" w:rsidRDefault="006655EA" w:rsidP="006655EA">
      <w:pPr>
        <w:spacing w:line="240" w:lineRule="auto"/>
        <w:rPr>
          <w:rFonts w:cstheme="minorHAnsi"/>
          <w:sz w:val="24"/>
          <w:szCs w:val="24"/>
        </w:rPr>
      </w:pPr>
      <w:r w:rsidRPr="006655EA">
        <w:rPr>
          <w:rFonts w:cstheme="minorHAnsi"/>
          <w:sz w:val="24"/>
          <w:szCs w:val="24"/>
        </w:rPr>
        <w:t xml:space="preserve">Only matters that relate to, or which occurred at, the district level, as well as serious cases referred from the club level, should be dealt with by the district body. All complaints will be dealt with promptly, seriously, </w:t>
      </w:r>
      <w:r w:rsidR="002205CB" w:rsidRPr="006655EA">
        <w:rPr>
          <w:rFonts w:cstheme="minorHAnsi"/>
          <w:sz w:val="24"/>
          <w:szCs w:val="24"/>
        </w:rPr>
        <w:t>sensitively,</w:t>
      </w:r>
      <w:r w:rsidRPr="006655EA">
        <w:rPr>
          <w:rFonts w:cstheme="minorHAnsi"/>
          <w:sz w:val="24"/>
          <w:szCs w:val="24"/>
        </w:rPr>
        <w:t xml:space="preserve"> and confidentially. </w:t>
      </w:r>
    </w:p>
    <w:p w14:paraId="1E9B2FAF" w14:textId="77777777" w:rsidR="002205CB" w:rsidRDefault="002205CB" w:rsidP="002205CB">
      <w:pPr>
        <w:pStyle w:val="ListParagraph"/>
        <w:spacing w:after="0" w:line="240" w:lineRule="auto"/>
        <w:ind w:left="0"/>
        <w:rPr>
          <w:rFonts w:cstheme="minorHAnsi"/>
          <w:b/>
          <w:bCs/>
          <w:sz w:val="24"/>
          <w:szCs w:val="24"/>
          <w:u w:val="single"/>
        </w:rPr>
      </w:pPr>
    </w:p>
    <w:p w14:paraId="0F9B5D08" w14:textId="3585444D" w:rsidR="006655EA" w:rsidRPr="006655EA" w:rsidRDefault="00673DE6" w:rsidP="00D9345D">
      <w:pPr>
        <w:pStyle w:val="ListParagraph"/>
        <w:spacing w:after="0" w:line="240" w:lineRule="auto"/>
        <w:ind w:left="0"/>
        <w:rPr>
          <w:rFonts w:cstheme="minorHAnsi"/>
          <w:b/>
          <w:bCs/>
          <w:sz w:val="24"/>
          <w:szCs w:val="24"/>
          <w:u w:val="single"/>
        </w:rPr>
      </w:pPr>
      <w:r>
        <w:rPr>
          <w:rFonts w:cstheme="minorHAnsi"/>
          <w:b/>
          <w:bCs/>
          <w:sz w:val="24"/>
          <w:szCs w:val="24"/>
          <w:u w:val="single"/>
        </w:rPr>
        <w:t xml:space="preserve">Procedure for handling </w:t>
      </w:r>
      <w:r w:rsidR="00D9345D" w:rsidRPr="006655EA">
        <w:rPr>
          <w:rFonts w:cstheme="minorHAnsi"/>
          <w:b/>
          <w:bCs/>
          <w:sz w:val="24"/>
          <w:szCs w:val="24"/>
          <w:u w:val="single"/>
        </w:rPr>
        <w:t>alleged grievance o</w:t>
      </w:r>
      <w:r>
        <w:rPr>
          <w:rFonts w:cstheme="minorHAnsi"/>
          <w:b/>
          <w:bCs/>
          <w:sz w:val="24"/>
          <w:szCs w:val="24"/>
          <w:u w:val="single"/>
        </w:rPr>
        <w:t>r</w:t>
      </w:r>
      <w:r w:rsidR="00D9345D" w:rsidRPr="006655EA">
        <w:rPr>
          <w:rFonts w:cstheme="minorHAnsi"/>
          <w:b/>
          <w:bCs/>
          <w:sz w:val="24"/>
          <w:szCs w:val="24"/>
          <w:u w:val="single"/>
        </w:rPr>
        <w:t xml:space="preserve"> complaint</w:t>
      </w:r>
    </w:p>
    <w:p w14:paraId="5516C99C" w14:textId="1B082011" w:rsidR="006655EA" w:rsidRPr="002F0AAC" w:rsidRDefault="006655EA" w:rsidP="006655EA">
      <w:pPr>
        <w:pStyle w:val="ListParagraph"/>
        <w:numPr>
          <w:ilvl w:val="0"/>
          <w:numId w:val="29"/>
        </w:numPr>
        <w:spacing w:line="240" w:lineRule="auto"/>
        <w:rPr>
          <w:rFonts w:cstheme="minorHAnsi"/>
          <w:sz w:val="24"/>
          <w:szCs w:val="24"/>
        </w:rPr>
      </w:pPr>
      <w:r w:rsidRPr="00D9345D">
        <w:rPr>
          <w:rFonts w:cstheme="minorHAnsi"/>
          <w:sz w:val="24"/>
          <w:szCs w:val="24"/>
        </w:rPr>
        <w:t xml:space="preserve">When the Management Committee is advised that a grievance has been lodged, they shall appoint a Tribunal of three (3) representative people to investigate the facts in relation to the matter. </w:t>
      </w:r>
    </w:p>
    <w:p w14:paraId="66415ADC" w14:textId="64990989" w:rsidR="006655EA" w:rsidRPr="00D9345D" w:rsidRDefault="006655EA" w:rsidP="00673DE6">
      <w:pPr>
        <w:pStyle w:val="ListParagraph"/>
        <w:numPr>
          <w:ilvl w:val="0"/>
          <w:numId w:val="29"/>
        </w:numPr>
        <w:spacing w:after="0" w:line="240" w:lineRule="auto"/>
        <w:rPr>
          <w:rFonts w:cstheme="minorHAnsi"/>
          <w:sz w:val="24"/>
          <w:szCs w:val="24"/>
        </w:rPr>
      </w:pPr>
      <w:r w:rsidRPr="00D9345D">
        <w:rPr>
          <w:rFonts w:cstheme="minorHAnsi"/>
          <w:sz w:val="24"/>
          <w:szCs w:val="24"/>
        </w:rPr>
        <w:t xml:space="preserve">The Tribunal panel members will be provided with a copy of all the relevant correspondence, reports or information received and sent by relevant nominated official relating to the complaint/allegations. </w:t>
      </w:r>
    </w:p>
    <w:p w14:paraId="7447870E" w14:textId="4B12ACC0" w:rsidR="006655EA" w:rsidRPr="00673DE6" w:rsidRDefault="006655EA" w:rsidP="00673DE6">
      <w:pPr>
        <w:pStyle w:val="ListParagraph"/>
        <w:numPr>
          <w:ilvl w:val="0"/>
          <w:numId w:val="29"/>
        </w:numPr>
        <w:spacing w:after="0" w:line="240" w:lineRule="auto"/>
        <w:rPr>
          <w:rFonts w:cstheme="minorHAnsi"/>
          <w:sz w:val="24"/>
          <w:szCs w:val="24"/>
        </w:rPr>
      </w:pPr>
      <w:r w:rsidRPr="00673DE6">
        <w:rPr>
          <w:rFonts w:cstheme="minorHAnsi"/>
          <w:sz w:val="24"/>
          <w:szCs w:val="24"/>
        </w:rPr>
        <w:t xml:space="preserve">The Tribunal hearing will be held as soon as practicable. However, adequate time must be provided for the respondent(s) to prepare for the hearing. </w:t>
      </w:r>
    </w:p>
    <w:p w14:paraId="77151BD1" w14:textId="538C7246" w:rsidR="006655EA" w:rsidRPr="00673DE6" w:rsidRDefault="006655EA" w:rsidP="00673DE6">
      <w:pPr>
        <w:pStyle w:val="ListParagraph"/>
        <w:numPr>
          <w:ilvl w:val="0"/>
          <w:numId w:val="29"/>
        </w:numPr>
        <w:spacing w:after="0" w:line="240" w:lineRule="auto"/>
        <w:rPr>
          <w:rFonts w:cstheme="minorHAnsi"/>
          <w:sz w:val="24"/>
          <w:szCs w:val="24"/>
        </w:rPr>
      </w:pPr>
      <w:r w:rsidRPr="00673DE6">
        <w:rPr>
          <w:rFonts w:cstheme="minorHAnsi"/>
          <w:sz w:val="24"/>
          <w:szCs w:val="24"/>
        </w:rPr>
        <w:t xml:space="preserve">The District Secretary will inform the respondent(s) in writing that a Tribunal hearing will take place. The notice will outline: </w:t>
      </w:r>
    </w:p>
    <w:p w14:paraId="7FD92B51" w14:textId="756F2BB4"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that the person has a right to appear at the Tribunal hearing to defend the complaint/</w:t>
      </w:r>
      <w:r w:rsidR="00673DE6" w:rsidRPr="006655EA">
        <w:rPr>
          <w:rFonts w:cstheme="minorHAnsi"/>
          <w:sz w:val="24"/>
          <w:szCs w:val="24"/>
        </w:rPr>
        <w:t>allegations</w:t>
      </w:r>
      <w:r w:rsidR="00673DE6">
        <w:rPr>
          <w:rFonts w:cstheme="minorHAnsi"/>
          <w:sz w:val="24"/>
          <w:szCs w:val="24"/>
        </w:rPr>
        <w:t>;</w:t>
      </w:r>
    </w:p>
    <w:p w14:paraId="495FAF26"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details of the complaint and of all allegations, as well as the provision or clause of any policy, rule or regulation that has allegedly been breached; </w:t>
      </w:r>
    </w:p>
    <w:p w14:paraId="76CF0DDB"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date, </w:t>
      </w:r>
      <w:proofErr w:type="gramStart"/>
      <w:r w:rsidRPr="006655EA">
        <w:rPr>
          <w:rFonts w:cstheme="minorHAnsi"/>
          <w:sz w:val="24"/>
          <w:szCs w:val="24"/>
        </w:rPr>
        <w:t>time</w:t>
      </w:r>
      <w:proofErr w:type="gramEnd"/>
      <w:r w:rsidRPr="006655EA">
        <w:rPr>
          <w:rFonts w:cstheme="minorHAnsi"/>
          <w:sz w:val="24"/>
          <w:szCs w:val="24"/>
        </w:rPr>
        <w:t xml:space="preserve"> and venue of the Tribunal hearing; </w:t>
      </w:r>
    </w:p>
    <w:p w14:paraId="00538E96"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that verbal and/or written submissions can be presented at the Tribunal hearing; </w:t>
      </w:r>
    </w:p>
    <w:p w14:paraId="2091C611"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that witnesses may attend the Tribunal hearing to support the position of the respondent/s; </w:t>
      </w:r>
    </w:p>
    <w:p w14:paraId="13684F26"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an outline of any possible sanctions that may be imposed if the complaint is found to be true; </w:t>
      </w:r>
    </w:p>
    <w:p w14:paraId="23B125EB" w14:textId="091328D6"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That legal representation will not be allowed. [The respondent may be assisted by a support person at a Tribunal hearing. For example, where the respondent is a minor, he or she should have a parent or guardian present. </w:t>
      </w:r>
      <w:r w:rsidR="00673DE6" w:rsidRPr="006655EA">
        <w:rPr>
          <w:rFonts w:cstheme="minorHAnsi"/>
          <w:sz w:val="24"/>
          <w:szCs w:val="24"/>
        </w:rPr>
        <w:t>However,</w:t>
      </w:r>
      <w:r w:rsidRPr="006655EA">
        <w:rPr>
          <w:rFonts w:cstheme="minorHAnsi"/>
          <w:sz w:val="24"/>
          <w:szCs w:val="24"/>
        </w:rPr>
        <w:t xml:space="preserve"> a person cannot be a support person if he or she has been admitted to the </w:t>
      </w:r>
      <w:r w:rsidR="00673DE6" w:rsidRPr="006655EA">
        <w:rPr>
          <w:rFonts w:cstheme="minorHAnsi"/>
          <w:sz w:val="24"/>
          <w:szCs w:val="24"/>
        </w:rPr>
        <w:t>practice</w:t>
      </w:r>
      <w:r w:rsidRPr="006655EA">
        <w:rPr>
          <w:rFonts w:cstheme="minorHAnsi"/>
          <w:sz w:val="24"/>
          <w:szCs w:val="24"/>
        </w:rPr>
        <w:t xml:space="preserve"> as a lawyer or worked as a trainee lawyer.] A copy of any investigation report findings will be provided to the respondent(s). </w:t>
      </w:r>
    </w:p>
    <w:p w14:paraId="5E087C4A" w14:textId="3B460F76"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The District Secretary will notify the complainant in writing that a Tribunal hearing will take place. The notice will outline: </w:t>
      </w:r>
    </w:p>
    <w:p w14:paraId="06950D82"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that the person has a right to appear at the Tribunal hearing to support their complaint; </w:t>
      </w:r>
    </w:p>
    <w:p w14:paraId="1F33F9EA"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details of the complaint, including any relevant rules or regulations the respondent is accused of breaching; </w:t>
      </w:r>
    </w:p>
    <w:p w14:paraId="280736A3"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date, </w:t>
      </w:r>
      <w:proofErr w:type="gramStart"/>
      <w:r w:rsidRPr="006655EA">
        <w:rPr>
          <w:rFonts w:cstheme="minorHAnsi"/>
          <w:sz w:val="24"/>
          <w:szCs w:val="24"/>
        </w:rPr>
        <w:t>time</w:t>
      </w:r>
      <w:proofErr w:type="gramEnd"/>
      <w:r w:rsidRPr="006655EA">
        <w:rPr>
          <w:rFonts w:cstheme="minorHAnsi"/>
          <w:sz w:val="24"/>
          <w:szCs w:val="24"/>
        </w:rPr>
        <w:t xml:space="preserve"> and venue of the Tribunal hearing; </w:t>
      </w:r>
    </w:p>
    <w:p w14:paraId="37C7E0A2"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that verbal and/or written submissions can be presented at the Tribunal hearing; </w:t>
      </w:r>
    </w:p>
    <w:p w14:paraId="0A018364"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that witnesses may attend the Tribunal hearing to support the complainant’s position; </w:t>
      </w:r>
    </w:p>
    <w:p w14:paraId="771A5350"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that legal representation will not be allowed. </w:t>
      </w:r>
    </w:p>
    <w:p w14:paraId="05859B3B" w14:textId="1E54E493" w:rsidR="0016767C" w:rsidRDefault="006655EA" w:rsidP="00824D5E">
      <w:pPr>
        <w:pStyle w:val="ListParagraph"/>
        <w:spacing w:line="240" w:lineRule="auto"/>
        <w:ind w:left="1080"/>
        <w:rPr>
          <w:rFonts w:cstheme="minorHAnsi"/>
          <w:sz w:val="24"/>
          <w:szCs w:val="24"/>
        </w:rPr>
      </w:pPr>
      <w:r w:rsidRPr="006655EA">
        <w:rPr>
          <w:rFonts w:cstheme="minorHAnsi"/>
          <w:sz w:val="24"/>
          <w:szCs w:val="24"/>
        </w:rPr>
        <w:t>The respondent may be assisted by a support person at a Tribunal hearing. For example, where the respondent is a minor, he or she should have a parent or guardian present. However, a person cannot be a support person if he or she has been admitted to practice as a lawyer or worked as a trainee lawyer.]</w:t>
      </w:r>
    </w:p>
    <w:p w14:paraId="39D1965F" w14:textId="77777777" w:rsidR="00BF19CE" w:rsidRPr="00824D5E" w:rsidRDefault="00BF19CE" w:rsidP="00824D5E">
      <w:pPr>
        <w:pStyle w:val="ListParagraph"/>
        <w:spacing w:line="240" w:lineRule="auto"/>
        <w:ind w:left="1080"/>
        <w:rPr>
          <w:rFonts w:cstheme="minorHAnsi"/>
          <w:sz w:val="24"/>
          <w:szCs w:val="24"/>
        </w:rPr>
      </w:pPr>
    </w:p>
    <w:p w14:paraId="5B96BF5B" w14:textId="454F78D1"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A copy of the investigation report findings will be provided to the complainant. </w:t>
      </w:r>
    </w:p>
    <w:p w14:paraId="4137E764"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If the complainant believes the details of the complaint are incorrect or insufficient, he or she should inform the relevant nominated official as soon as possible so that the respondent(s) and members of the Tribunal panel can be properly informed of the complaint. </w:t>
      </w:r>
    </w:p>
    <w:p w14:paraId="18B4BF4C" w14:textId="2308216E" w:rsidR="006655EA" w:rsidRPr="00BF19CE" w:rsidRDefault="00BF19CE" w:rsidP="00BF19CE">
      <w:pPr>
        <w:spacing w:line="240" w:lineRule="auto"/>
        <w:jc w:val="center"/>
        <w:rPr>
          <w:rFonts w:cstheme="minorHAnsi"/>
          <w:b/>
          <w:bCs/>
          <w:sz w:val="24"/>
          <w:szCs w:val="24"/>
        </w:rPr>
      </w:pPr>
      <w:r>
        <w:rPr>
          <w:rFonts w:cstheme="minorHAnsi"/>
          <w:b/>
          <w:bCs/>
          <w:sz w:val="24"/>
          <w:szCs w:val="24"/>
        </w:rPr>
        <w:lastRenderedPageBreak/>
        <w:t>Page 3.</w:t>
      </w:r>
    </w:p>
    <w:p w14:paraId="5F919F5E" w14:textId="2273DA21" w:rsidR="006655EA" w:rsidRDefault="006655EA" w:rsidP="006655EA">
      <w:pPr>
        <w:pStyle w:val="ListParagraph"/>
        <w:numPr>
          <w:ilvl w:val="0"/>
          <w:numId w:val="29"/>
        </w:numPr>
        <w:spacing w:after="0" w:line="240" w:lineRule="auto"/>
        <w:rPr>
          <w:rFonts w:cstheme="minorHAnsi"/>
          <w:sz w:val="24"/>
          <w:szCs w:val="24"/>
        </w:rPr>
      </w:pPr>
      <w:r w:rsidRPr="006A6434">
        <w:rPr>
          <w:rFonts w:cstheme="minorHAnsi"/>
          <w:sz w:val="24"/>
          <w:szCs w:val="24"/>
        </w:rPr>
        <w:t>If possible, the Tribunal panel should include at least one person with knowledge or experience of the relevant laws/rules (</w:t>
      </w:r>
      <w:proofErr w:type="gramStart"/>
      <w:r w:rsidRPr="006A6434">
        <w:rPr>
          <w:rFonts w:cstheme="minorHAnsi"/>
          <w:sz w:val="24"/>
          <w:szCs w:val="24"/>
        </w:rPr>
        <w:t>e.g.</w:t>
      </w:r>
      <w:proofErr w:type="gramEnd"/>
      <w:r w:rsidRPr="006A6434">
        <w:rPr>
          <w:rFonts w:cstheme="minorHAnsi"/>
          <w:sz w:val="24"/>
          <w:szCs w:val="24"/>
        </w:rPr>
        <w:t xml:space="preserve"> anti-discrimination). </w:t>
      </w:r>
    </w:p>
    <w:p w14:paraId="5183DDAF" w14:textId="77777777" w:rsidR="00BF19CE" w:rsidRPr="00BF19CE" w:rsidRDefault="00BF19CE" w:rsidP="00BF19CE">
      <w:pPr>
        <w:pStyle w:val="ListParagraph"/>
        <w:spacing w:after="0" w:line="240" w:lineRule="auto"/>
        <w:ind w:left="360"/>
        <w:rPr>
          <w:rFonts w:cstheme="minorHAnsi"/>
          <w:sz w:val="24"/>
          <w:szCs w:val="24"/>
        </w:rPr>
      </w:pPr>
    </w:p>
    <w:p w14:paraId="22C94795" w14:textId="680AC9C3" w:rsidR="006655EA" w:rsidRPr="002F0AAC" w:rsidRDefault="006655EA" w:rsidP="002F0AAC">
      <w:pPr>
        <w:pStyle w:val="ListParagraph"/>
        <w:numPr>
          <w:ilvl w:val="0"/>
          <w:numId w:val="29"/>
        </w:numPr>
        <w:spacing w:after="0" w:line="240" w:lineRule="auto"/>
        <w:rPr>
          <w:rFonts w:cstheme="minorHAnsi"/>
          <w:sz w:val="24"/>
          <w:szCs w:val="24"/>
        </w:rPr>
      </w:pPr>
      <w:r w:rsidRPr="006A6434">
        <w:rPr>
          <w:rFonts w:cstheme="minorHAnsi"/>
          <w:sz w:val="24"/>
          <w:szCs w:val="24"/>
        </w:rPr>
        <w:t xml:space="preserve">The following people will be allowed to attend the Tribunal hearing: </w:t>
      </w:r>
    </w:p>
    <w:p w14:paraId="1ECBD54E"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Tribunal panel members; </w:t>
      </w:r>
    </w:p>
    <w:p w14:paraId="0CC2D154"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respondent(s); </w:t>
      </w:r>
    </w:p>
    <w:p w14:paraId="28E53BA3"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complainant; </w:t>
      </w:r>
    </w:p>
    <w:p w14:paraId="7D2DB7EC"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any witnesses called by the respondent(s); </w:t>
      </w:r>
    </w:p>
    <w:p w14:paraId="5DF5E586"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any witnesses called by the complainant; </w:t>
      </w:r>
    </w:p>
    <w:p w14:paraId="3D732B35"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any parent/guardian or support person required to support the respondent or the complainant.</w:t>
      </w:r>
    </w:p>
    <w:p w14:paraId="064D6ED1" w14:textId="77777777" w:rsidR="006655EA" w:rsidRPr="006655EA" w:rsidRDefault="006655EA" w:rsidP="006655EA">
      <w:pPr>
        <w:pStyle w:val="ListParagraph"/>
        <w:spacing w:line="240" w:lineRule="auto"/>
        <w:ind w:left="1080"/>
        <w:rPr>
          <w:rFonts w:cstheme="minorHAnsi"/>
          <w:sz w:val="24"/>
          <w:szCs w:val="24"/>
        </w:rPr>
      </w:pPr>
    </w:p>
    <w:p w14:paraId="63A1043E" w14:textId="6619A976"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If the respondent(s) is not present at the set hearing time and the Tribunal chairperson considers that no valid reason has been presented for this absence, the Tribunal hearing will continue subject to the chairperson being satisfied that all Tribunal notification requirements have been met. </w:t>
      </w:r>
    </w:p>
    <w:p w14:paraId="332CA0D5" w14:textId="77777777" w:rsidR="006655EA" w:rsidRPr="006655EA" w:rsidRDefault="006655EA" w:rsidP="006655EA">
      <w:pPr>
        <w:pStyle w:val="ListParagraph"/>
        <w:spacing w:line="240" w:lineRule="auto"/>
        <w:ind w:left="1080"/>
        <w:rPr>
          <w:rFonts w:cstheme="minorHAnsi"/>
          <w:sz w:val="24"/>
          <w:szCs w:val="24"/>
        </w:rPr>
      </w:pPr>
    </w:p>
    <w:p w14:paraId="5222CAD8" w14:textId="35D1DC7E"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If the Tribunal chairperson considers that there is a valid reason for the non-attendance of the respondent(s), or the chairperson does not believe the Tribunal notification requirements have been met, then the Tribunal hearing will be rescheduled to a later date. </w:t>
      </w:r>
    </w:p>
    <w:p w14:paraId="1BCC948A" w14:textId="77777777" w:rsidR="006655EA" w:rsidRPr="006655EA" w:rsidRDefault="006655EA" w:rsidP="006655EA">
      <w:pPr>
        <w:pStyle w:val="ListParagraph"/>
        <w:spacing w:line="240" w:lineRule="auto"/>
        <w:rPr>
          <w:rFonts w:cstheme="minorHAnsi"/>
          <w:sz w:val="24"/>
          <w:szCs w:val="24"/>
        </w:rPr>
      </w:pPr>
    </w:p>
    <w:p w14:paraId="126B4455" w14:textId="48058D44"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If the Tribunal chairperson wishes to reschedule the Tribunal hearing date, the Tribunal chairperson will inform the relevant nominated official of the need to reschedule the hearing and the relevant nominated official will arrange for the Tribunal to be reconvened. </w:t>
      </w:r>
    </w:p>
    <w:p w14:paraId="38292E52" w14:textId="77777777" w:rsidR="006655EA" w:rsidRPr="006655EA" w:rsidRDefault="006655EA" w:rsidP="006655EA">
      <w:pPr>
        <w:pStyle w:val="ListParagraph"/>
        <w:spacing w:line="240" w:lineRule="auto"/>
        <w:rPr>
          <w:rFonts w:cstheme="minorHAnsi"/>
          <w:sz w:val="24"/>
          <w:szCs w:val="24"/>
        </w:rPr>
      </w:pPr>
    </w:p>
    <w:p w14:paraId="1EE2D788" w14:textId="4FB91F10"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The Tribunal chairperson will read out the complaint, ask each respondent if he or she understands the complaint and if he or she agrees or disagrees with the complaint. </w:t>
      </w:r>
    </w:p>
    <w:p w14:paraId="7F734AC7" w14:textId="77777777" w:rsidR="006655EA" w:rsidRPr="006655EA" w:rsidRDefault="006655EA" w:rsidP="006655EA">
      <w:pPr>
        <w:pStyle w:val="ListParagraph"/>
        <w:spacing w:line="240" w:lineRule="auto"/>
        <w:rPr>
          <w:rFonts w:cstheme="minorHAnsi"/>
          <w:sz w:val="24"/>
          <w:szCs w:val="24"/>
        </w:rPr>
      </w:pPr>
    </w:p>
    <w:p w14:paraId="19A20218" w14:textId="3FEE514E" w:rsidR="006655EA" w:rsidRDefault="006655EA" w:rsidP="00BF19CE">
      <w:pPr>
        <w:pStyle w:val="ListParagraph"/>
        <w:numPr>
          <w:ilvl w:val="0"/>
          <w:numId w:val="29"/>
        </w:numPr>
        <w:spacing w:after="0" w:line="240" w:lineRule="auto"/>
        <w:rPr>
          <w:rFonts w:cstheme="minorHAnsi"/>
          <w:sz w:val="24"/>
          <w:szCs w:val="24"/>
        </w:rPr>
      </w:pPr>
      <w:r w:rsidRPr="006A6434">
        <w:rPr>
          <w:rFonts w:cstheme="minorHAnsi"/>
          <w:sz w:val="24"/>
          <w:szCs w:val="24"/>
        </w:rPr>
        <w:t>If the respondent agrees with the complaint, he or she will be asked to provide any evidence or witnesses that should be considered by the Tribunal when determining any sanctions. Note: Ensure the Tribunal has the necessary power under your constituent documents to impose disciplinary sanctions.</w:t>
      </w:r>
    </w:p>
    <w:p w14:paraId="34B1FF0B" w14:textId="77777777" w:rsidR="00BF19CE" w:rsidRPr="00BF19CE" w:rsidRDefault="00BF19CE" w:rsidP="00BF19CE">
      <w:pPr>
        <w:spacing w:after="0" w:line="240" w:lineRule="auto"/>
        <w:rPr>
          <w:rFonts w:cstheme="minorHAnsi"/>
          <w:sz w:val="24"/>
          <w:szCs w:val="24"/>
        </w:rPr>
      </w:pPr>
    </w:p>
    <w:p w14:paraId="5CB6C390" w14:textId="3262D594" w:rsidR="006655EA" w:rsidRPr="002F0AAC" w:rsidRDefault="006655EA" w:rsidP="002F0AAC">
      <w:pPr>
        <w:pStyle w:val="ListParagraph"/>
        <w:numPr>
          <w:ilvl w:val="0"/>
          <w:numId w:val="29"/>
        </w:numPr>
        <w:spacing w:after="0" w:line="240" w:lineRule="auto"/>
        <w:rPr>
          <w:rFonts w:cstheme="minorHAnsi"/>
          <w:sz w:val="24"/>
          <w:szCs w:val="24"/>
        </w:rPr>
      </w:pPr>
      <w:r w:rsidRPr="006A6434">
        <w:rPr>
          <w:rFonts w:cstheme="minorHAnsi"/>
          <w:sz w:val="24"/>
          <w:szCs w:val="24"/>
        </w:rPr>
        <w:t xml:space="preserve">If the respondent disagrees with the complaint, the complainant will be asked to describe the circumstances that lead to the complaint being made. </w:t>
      </w:r>
    </w:p>
    <w:p w14:paraId="6A7964D8"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Reference may be made to brief notes. </w:t>
      </w:r>
    </w:p>
    <w:p w14:paraId="4E1EB285"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complainant may call witnesses. </w:t>
      </w:r>
    </w:p>
    <w:p w14:paraId="636CF823" w14:textId="2AB23A11" w:rsidR="0016767C" w:rsidRPr="00824D5E" w:rsidRDefault="006655EA" w:rsidP="00824D5E">
      <w:pPr>
        <w:pStyle w:val="ListParagraph"/>
        <w:spacing w:line="240" w:lineRule="auto"/>
        <w:ind w:left="1080"/>
        <w:rPr>
          <w:rFonts w:cstheme="minorHAnsi"/>
          <w:sz w:val="24"/>
          <w:szCs w:val="24"/>
        </w:rPr>
      </w:pPr>
      <w:r w:rsidRPr="006655EA">
        <w:rPr>
          <w:rFonts w:cstheme="minorHAnsi"/>
          <w:sz w:val="24"/>
          <w:szCs w:val="24"/>
        </w:rPr>
        <w:t xml:space="preserve">• The respondent may question the complainant and any witnesses.  </w:t>
      </w:r>
    </w:p>
    <w:p w14:paraId="6613F392" w14:textId="77777777" w:rsidR="0016767C" w:rsidRPr="0016767C" w:rsidRDefault="0016767C" w:rsidP="0016767C">
      <w:pPr>
        <w:spacing w:after="0" w:line="240" w:lineRule="auto"/>
        <w:jc w:val="center"/>
        <w:rPr>
          <w:rFonts w:cstheme="minorHAnsi"/>
          <w:b/>
          <w:bCs/>
          <w:sz w:val="24"/>
          <w:szCs w:val="24"/>
        </w:rPr>
      </w:pPr>
    </w:p>
    <w:p w14:paraId="2588788E" w14:textId="4EC7D616"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The respondent will then be asked to respond to the complaint. </w:t>
      </w:r>
    </w:p>
    <w:p w14:paraId="7F85B261"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Reference may be made to brief notes. </w:t>
      </w:r>
    </w:p>
    <w:p w14:paraId="4719286D"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respondent may call witnesses. </w:t>
      </w:r>
    </w:p>
    <w:p w14:paraId="2B30BABC"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The complainant may ask questions of the respondent and any witnesses. </w:t>
      </w:r>
    </w:p>
    <w:p w14:paraId="07788FAC" w14:textId="77777777" w:rsidR="006655EA" w:rsidRPr="006655EA" w:rsidRDefault="006655EA" w:rsidP="006655EA">
      <w:pPr>
        <w:pStyle w:val="ListParagraph"/>
        <w:spacing w:line="240" w:lineRule="auto"/>
        <w:ind w:left="1080"/>
        <w:rPr>
          <w:rFonts w:cstheme="minorHAnsi"/>
          <w:sz w:val="24"/>
          <w:szCs w:val="24"/>
        </w:rPr>
      </w:pPr>
    </w:p>
    <w:p w14:paraId="0208E93D" w14:textId="77777777" w:rsidR="00BF19CE" w:rsidRPr="00BF19CE" w:rsidRDefault="00BF19CE" w:rsidP="00BF19CE">
      <w:pPr>
        <w:spacing w:after="0" w:line="240" w:lineRule="auto"/>
        <w:rPr>
          <w:rFonts w:cstheme="minorHAnsi"/>
          <w:sz w:val="24"/>
          <w:szCs w:val="24"/>
        </w:rPr>
      </w:pPr>
    </w:p>
    <w:p w14:paraId="30F58344" w14:textId="2038BF2F" w:rsidR="00BF19CE" w:rsidRDefault="00BF19CE" w:rsidP="00BF19CE">
      <w:pPr>
        <w:spacing w:after="0" w:line="240" w:lineRule="auto"/>
        <w:jc w:val="center"/>
        <w:rPr>
          <w:rFonts w:cstheme="minorHAnsi"/>
          <w:b/>
          <w:bCs/>
          <w:sz w:val="24"/>
          <w:szCs w:val="24"/>
        </w:rPr>
      </w:pPr>
      <w:r>
        <w:rPr>
          <w:rFonts w:cstheme="minorHAnsi"/>
          <w:b/>
          <w:bCs/>
          <w:sz w:val="24"/>
          <w:szCs w:val="24"/>
        </w:rPr>
        <w:lastRenderedPageBreak/>
        <w:t>Page 4.</w:t>
      </w:r>
    </w:p>
    <w:p w14:paraId="3C0B2752" w14:textId="77777777" w:rsidR="00BF19CE" w:rsidRPr="00BF19CE" w:rsidRDefault="00BF19CE" w:rsidP="00BF19CE">
      <w:pPr>
        <w:spacing w:after="0" w:line="240" w:lineRule="auto"/>
        <w:jc w:val="center"/>
        <w:rPr>
          <w:rFonts w:cstheme="minorHAnsi"/>
          <w:b/>
          <w:bCs/>
          <w:sz w:val="24"/>
          <w:szCs w:val="24"/>
        </w:rPr>
      </w:pPr>
    </w:p>
    <w:p w14:paraId="372C7700" w14:textId="1BC35DE3"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The complainant and respondent(s) may be present when evidence is presented to the Tribunal hearing. Witnesses may be asked to wait outside the hearing until they are required.</w:t>
      </w:r>
    </w:p>
    <w:p w14:paraId="3FDE19B6" w14:textId="77777777" w:rsidR="006655EA" w:rsidRPr="006655EA" w:rsidRDefault="006655EA" w:rsidP="006655EA">
      <w:pPr>
        <w:pStyle w:val="ListParagraph"/>
        <w:spacing w:line="240" w:lineRule="auto"/>
        <w:ind w:left="1080"/>
        <w:rPr>
          <w:rFonts w:cstheme="minorHAnsi"/>
          <w:sz w:val="24"/>
          <w:szCs w:val="24"/>
        </w:rPr>
      </w:pPr>
    </w:p>
    <w:p w14:paraId="468D255F" w14:textId="6DC3A5F1"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The Tribunal may: </w:t>
      </w:r>
    </w:p>
    <w:p w14:paraId="2FDF8794"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consider any evidence, and in any form, that it deems relevant;</w:t>
      </w:r>
    </w:p>
    <w:p w14:paraId="2D60F8FB"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ask questions of any person giving evidence; </w:t>
      </w:r>
    </w:p>
    <w:p w14:paraId="7C3C8235"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limit the number of witnesses (including limiting witnesses to those persons who only provide new evidence); </w:t>
      </w:r>
    </w:p>
    <w:p w14:paraId="385C20F8"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xml:space="preserve">• require (to the extent it has power to do so) the attendance of any witness it deems relevant; and </w:t>
      </w:r>
    </w:p>
    <w:p w14:paraId="41698B5B" w14:textId="77777777" w:rsidR="006655EA" w:rsidRPr="006655EA" w:rsidRDefault="006655EA" w:rsidP="006655EA">
      <w:pPr>
        <w:pStyle w:val="ListParagraph"/>
        <w:spacing w:line="240" w:lineRule="auto"/>
        <w:ind w:left="1080"/>
        <w:rPr>
          <w:rFonts w:cstheme="minorHAnsi"/>
          <w:sz w:val="24"/>
          <w:szCs w:val="24"/>
        </w:rPr>
      </w:pPr>
      <w:r w:rsidRPr="006655EA">
        <w:rPr>
          <w:rFonts w:cstheme="minorHAnsi"/>
          <w:sz w:val="24"/>
          <w:szCs w:val="24"/>
        </w:rPr>
        <w:t>• act in an inquisitorial manner in order to establish the truth of the issue/complaint before it.</w:t>
      </w:r>
    </w:p>
    <w:p w14:paraId="091403EB" w14:textId="77777777" w:rsidR="006655EA" w:rsidRPr="006655EA" w:rsidRDefault="006655EA" w:rsidP="006655EA">
      <w:pPr>
        <w:pStyle w:val="ListParagraph"/>
        <w:spacing w:line="240" w:lineRule="auto"/>
        <w:ind w:left="1080"/>
        <w:rPr>
          <w:rFonts w:cstheme="minorHAnsi"/>
          <w:sz w:val="24"/>
          <w:szCs w:val="24"/>
        </w:rPr>
      </w:pPr>
    </w:p>
    <w:p w14:paraId="5FE70A63" w14:textId="2346DE9E"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Video evidence, if available, may be presented. Arrangements for the viewing of this evidence must be made entirely by the person(s) wishing to offer this type of evidence. </w:t>
      </w:r>
    </w:p>
    <w:p w14:paraId="3D8664C3" w14:textId="77710B91"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If the Tribunal panel considers that at any time during the hearing there is any unreasonable or intimidatory </w:t>
      </w:r>
      <w:r w:rsidR="006A6434" w:rsidRPr="006A6434">
        <w:rPr>
          <w:rFonts w:cstheme="minorHAnsi"/>
          <w:sz w:val="24"/>
          <w:szCs w:val="24"/>
        </w:rPr>
        <w:t>behavior</w:t>
      </w:r>
      <w:r w:rsidRPr="006A6434">
        <w:rPr>
          <w:rFonts w:cstheme="minorHAnsi"/>
          <w:sz w:val="24"/>
          <w:szCs w:val="24"/>
        </w:rPr>
        <w:t xml:space="preserve"> from anyone, the Tribunal chairperson may deny further involvement of that person in the hearing.</w:t>
      </w:r>
    </w:p>
    <w:p w14:paraId="67D45CC9" w14:textId="77777777" w:rsidR="006655EA" w:rsidRPr="006655EA" w:rsidRDefault="006655EA" w:rsidP="006655EA">
      <w:pPr>
        <w:pStyle w:val="ListParagraph"/>
        <w:spacing w:line="240" w:lineRule="auto"/>
        <w:ind w:left="1080"/>
        <w:rPr>
          <w:rFonts w:cstheme="minorHAnsi"/>
          <w:sz w:val="24"/>
          <w:szCs w:val="24"/>
        </w:rPr>
      </w:pPr>
    </w:p>
    <w:p w14:paraId="58F883F4" w14:textId="34D1A8B9"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After all the evidence has been presented, the Tribunal will make its decision in private. The Tribunal must decide whether the complaint has, on the balance of probabilities, been substantiated. </w:t>
      </w:r>
    </w:p>
    <w:p w14:paraId="50EB07EC" w14:textId="77777777" w:rsidR="006655EA" w:rsidRPr="006655EA" w:rsidRDefault="006655EA" w:rsidP="006655EA">
      <w:pPr>
        <w:pStyle w:val="ListParagraph"/>
        <w:spacing w:line="240" w:lineRule="auto"/>
        <w:rPr>
          <w:rFonts w:cstheme="minorHAnsi"/>
          <w:sz w:val="24"/>
          <w:szCs w:val="24"/>
        </w:rPr>
      </w:pPr>
    </w:p>
    <w:p w14:paraId="639BD23B" w14:textId="433B355A"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All Tribunal decisions will be by majority vote.</w:t>
      </w:r>
    </w:p>
    <w:p w14:paraId="6BDD180B" w14:textId="77777777" w:rsidR="006655EA" w:rsidRPr="006655EA" w:rsidRDefault="006655EA" w:rsidP="006655EA">
      <w:pPr>
        <w:pStyle w:val="ListParagraph"/>
        <w:spacing w:line="240" w:lineRule="auto"/>
        <w:rPr>
          <w:rFonts w:cstheme="minorHAnsi"/>
          <w:sz w:val="24"/>
          <w:szCs w:val="24"/>
        </w:rPr>
      </w:pPr>
    </w:p>
    <w:p w14:paraId="1BF04C71" w14:textId="3AF3C197"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The Tribunal chairperson may announce the decision of the Tribunal at the conclusion of the hearing. Alternatively, he or she may reserve the decision of the Tribunal at the conclusion of the hearing and deliver the decision </w:t>
      </w:r>
      <w:r w:rsidR="006A6434" w:rsidRPr="006A6434">
        <w:rPr>
          <w:rFonts w:cstheme="minorHAnsi"/>
          <w:sz w:val="24"/>
          <w:szCs w:val="24"/>
        </w:rPr>
        <w:t>later</w:t>
      </w:r>
      <w:r w:rsidRPr="006A6434">
        <w:rPr>
          <w:rFonts w:cstheme="minorHAnsi"/>
          <w:sz w:val="24"/>
          <w:szCs w:val="24"/>
        </w:rPr>
        <w:t xml:space="preserve">. </w:t>
      </w:r>
    </w:p>
    <w:p w14:paraId="6CB15AFF" w14:textId="77777777" w:rsidR="006655EA" w:rsidRPr="006655EA" w:rsidRDefault="006655EA" w:rsidP="006655EA">
      <w:pPr>
        <w:pStyle w:val="ListParagraph"/>
        <w:spacing w:line="240" w:lineRule="auto"/>
        <w:rPr>
          <w:rFonts w:cstheme="minorHAnsi"/>
          <w:sz w:val="24"/>
          <w:szCs w:val="24"/>
        </w:rPr>
      </w:pPr>
    </w:p>
    <w:p w14:paraId="6AFCE192" w14:textId="3B96159D"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The respondent(s) will have the opportunity to make submissions to the Tribunal in relation to any sanctions that may be imposed. 25. </w:t>
      </w:r>
    </w:p>
    <w:p w14:paraId="02667E7A" w14:textId="77777777" w:rsidR="006655EA" w:rsidRPr="006655EA" w:rsidRDefault="006655EA" w:rsidP="006655EA">
      <w:pPr>
        <w:pStyle w:val="ListParagraph"/>
        <w:spacing w:line="240" w:lineRule="auto"/>
        <w:rPr>
          <w:rFonts w:cstheme="minorHAnsi"/>
          <w:sz w:val="24"/>
          <w:szCs w:val="24"/>
        </w:rPr>
      </w:pPr>
    </w:p>
    <w:p w14:paraId="310EB91B" w14:textId="2C19B61F" w:rsidR="006655EA" w:rsidRPr="006A6434" w:rsidRDefault="006655EA" w:rsidP="006A6434">
      <w:pPr>
        <w:pStyle w:val="ListParagraph"/>
        <w:numPr>
          <w:ilvl w:val="0"/>
          <w:numId w:val="29"/>
        </w:numPr>
        <w:spacing w:after="0" w:line="240" w:lineRule="auto"/>
        <w:rPr>
          <w:rFonts w:cstheme="minorHAnsi"/>
          <w:sz w:val="24"/>
          <w:szCs w:val="24"/>
        </w:rPr>
      </w:pPr>
      <w:r w:rsidRPr="006A6434">
        <w:rPr>
          <w:rFonts w:cstheme="minorHAnsi"/>
          <w:sz w:val="24"/>
          <w:szCs w:val="24"/>
        </w:rPr>
        <w:t xml:space="preserve">Within 48 hours of the Tribunal delivering its decision, the Tribunal chairperson will: </w:t>
      </w:r>
    </w:p>
    <w:p w14:paraId="5ACA6DBB" w14:textId="14A86EAD" w:rsidR="006655EA" w:rsidRPr="006655EA" w:rsidRDefault="006655EA" w:rsidP="002F0AAC">
      <w:pPr>
        <w:spacing w:after="0" w:line="240" w:lineRule="auto"/>
        <w:ind w:left="1021"/>
        <w:rPr>
          <w:rFonts w:cstheme="minorHAnsi"/>
          <w:sz w:val="24"/>
          <w:szCs w:val="24"/>
        </w:rPr>
      </w:pPr>
      <w:r w:rsidRPr="006655EA">
        <w:rPr>
          <w:rFonts w:cstheme="minorHAnsi"/>
          <w:sz w:val="24"/>
          <w:szCs w:val="24"/>
        </w:rPr>
        <w:t xml:space="preserve">• forward a notice of the Tribunal’s decision to the relevant nominated official, including details of any sanction imposed. </w:t>
      </w:r>
    </w:p>
    <w:p w14:paraId="22E0855D" w14:textId="77777777" w:rsidR="006655EA" w:rsidRPr="006655EA" w:rsidRDefault="006655EA" w:rsidP="002F0AAC">
      <w:pPr>
        <w:spacing w:after="0" w:line="240" w:lineRule="auto"/>
        <w:ind w:left="1021"/>
        <w:rPr>
          <w:rFonts w:cstheme="minorHAnsi"/>
          <w:sz w:val="24"/>
          <w:szCs w:val="24"/>
        </w:rPr>
      </w:pPr>
      <w:r w:rsidRPr="006655EA">
        <w:rPr>
          <w:rFonts w:cstheme="minorHAnsi"/>
          <w:sz w:val="24"/>
          <w:szCs w:val="24"/>
        </w:rPr>
        <w:t xml:space="preserve">• forward a letter reconfirming the Tribunal’s decision to the respondent(s), including any sanction imposed. The letter should also outline the process and grounds for an appeal, if allowed. </w:t>
      </w:r>
    </w:p>
    <w:p w14:paraId="1A68FFE1" w14:textId="77777777" w:rsidR="006655EA" w:rsidRPr="006655EA" w:rsidRDefault="006655EA" w:rsidP="006655EA">
      <w:pPr>
        <w:spacing w:line="240" w:lineRule="auto"/>
        <w:ind w:left="1080"/>
        <w:rPr>
          <w:rFonts w:cstheme="minorHAnsi"/>
          <w:sz w:val="24"/>
          <w:szCs w:val="24"/>
        </w:rPr>
      </w:pPr>
    </w:p>
    <w:p w14:paraId="6030E988" w14:textId="1C088A00" w:rsidR="006655EA" w:rsidRDefault="006655EA" w:rsidP="0016767C">
      <w:pPr>
        <w:pStyle w:val="ListParagraph"/>
        <w:numPr>
          <w:ilvl w:val="0"/>
          <w:numId w:val="29"/>
        </w:numPr>
        <w:spacing w:after="0" w:line="240" w:lineRule="auto"/>
        <w:rPr>
          <w:rFonts w:cstheme="minorHAnsi"/>
          <w:sz w:val="24"/>
          <w:szCs w:val="24"/>
        </w:rPr>
      </w:pPr>
      <w:r w:rsidRPr="00F1591C">
        <w:rPr>
          <w:rFonts w:cstheme="minorHAnsi"/>
          <w:sz w:val="24"/>
          <w:szCs w:val="24"/>
        </w:rPr>
        <w:t xml:space="preserve">The Tribunal does not need to provide written reasons for its decision. </w:t>
      </w:r>
    </w:p>
    <w:p w14:paraId="1B3E28E5" w14:textId="77777777" w:rsidR="00824D5E" w:rsidRDefault="00824D5E">
      <w:pPr>
        <w:rPr>
          <w:rFonts w:cstheme="minorHAnsi"/>
          <w:b/>
          <w:bCs/>
          <w:sz w:val="24"/>
          <w:szCs w:val="24"/>
        </w:rPr>
      </w:pPr>
      <w:r>
        <w:rPr>
          <w:rFonts w:cstheme="minorHAnsi"/>
          <w:b/>
          <w:bCs/>
          <w:sz w:val="24"/>
          <w:szCs w:val="24"/>
        </w:rPr>
        <w:br w:type="page"/>
      </w:r>
    </w:p>
    <w:p w14:paraId="0EA2EC7B" w14:textId="771928C6" w:rsidR="0016767C" w:rsidRDefault="0016767C" w:rsidP="0016767C">
      <w:pPr>
        <w:spacing w:after="0" w:line="240" w:lineRule="auto"/>
        <w:jc w:val="center"/>
        <w:rPr>
          <w:rFonts w:cstheme="minorHAnsi"/>
          <w:b/>
          <w:bCs/>
          <w:sz w:val="24"/>
          <w:szCs w:val="24"/>
        </w:rPr>
      </w:pPr>
      <w:r>
        <w:rPr>
          <w:rFonts w:cstheme="minorHAnsi"/>
          <w:b/>
          <w:bCs/>
          <w:sz w:val="24"/>
          <w:szCs w:val="24"/>
        </w:rPr>
        <w:lastRenderedPageBreak/>
        <w:t>Page 5.</w:t>
      </w:r>
    </w:p>
    <w:p w14:paraId="74170185" w14:textId="77777777" w:rsidR="0016767C" w:rsidRPr="0016767C" w:rsidRDefault="0016767C" w:rsidP="0016767C">
      <w:pPr>
        <w:spacing w:after="0" w:line="240" w:lineRule="auto"/>
        <w:jc w:val="center"/>
        <w:rPr>
          <w:rFonts w:cstheme="minorHAnsi"/>
          <w:b/>
          <w:bCs/>
          <w:sz w:val="24"/>
          <w:szCs w:val="24"/>
        </w:rPr>
      </w:pPr>
    </w:p>
    <w:p w14:paraId="4F7BE856" w14:textId="70E47D7C" w:rsidR="006655EA" w:rsidRDefault="006655EA" w:rsidP="00F1591C">
      <w:pPr>
        <w:spacing w:after="0" w:line="240" w:lineRule="auto"/>
        <w:rPr>
          <w:rFonts w:cstheme="minorHAnsi"/>
          <w:b/>
          <w:bCs/>
          <w:sz w:val="24"/>
          <w:szCs w:val="24"/>
        </w:rPr>
      </w:pPr>
      <w:r w:rsidRPr="00F1591C">
        <w:rPr>
          <w:rFonts w:cstheme="minorHAnsi"/>
          <w:b/>
          <w:bCs/>
          <w:sz w:val="24"/>
          <w:szCs w:val="24"/>
          <w:u w:val="single"/>
        </w:rPr>
        <w:t>Appeals procedure</w:t>
      </w:r>
      <w:r w:rsidR="00F1591C">
        <w:rPr>
          <w:rFonts w:cstheme="minorHAnsi"/>
          <w:b/>
          <w:bCs/>
          <w:sz w:val="24"/>
          <w:szCs w:val="24"/>
        </w:rPr>
        <w:t>.</w:t>
      </w:r>
    </w:p>
    <w:p w14:paraId="3CCCCA07" w14:textId="2FDA948B" w:rsidR="00064B94" w:rsidRPr="00A32A40" w:rsidRDefault="00064B94" w:rsidP="00064B94">
      <w:pPr>
        <w:spacing w:after="0"/>
        <w:jc w:val="both"/>
        <w:rPr>
          <w:rFonts w:cstheme="minorHAnsi"/>
          <w:sz w:val="24"/>
          <w:szCs w:val="24"/>
        </w:rPr>
      </w:pPr>
      <w:r w:rsidRPr="00A32A40">
        <w:rPr>
          <w:rFonts w:cstheme="minorHAnsi"/>
          <w:sz w:val="24"/>
          <w:szCs w:val="24"/>
        </w:rPr>
        <w:t xml:space="preserve">There shall be the right of appeal of the decision of the </w:t>
      </w:r>
      <w:r w:rsidR="00FB35BF">
        <w:rPr>
          <w:rFonts w:cstheme="minorHAnsi"/>
          <w:sz w:val="24"/>
          <w:szCs w:val="24"/>
        </w:rPr>
        <w:t>Complaints Tribunal</w:t>
      </w:r>
      <w:r w:rsidRPr="00A32A40">
        <w:rPr>
          <w:rFonts w:cstheme="minorHAnsi"/>
          <w:sz w:val="24"/>
          <w:szCs w:val="24"/>
        </w:rPr>
        <w:t xml:space="preserve"> to an Appeals Tribunal</w:t>
      </w:r>
      <w:r>
        <w:rPr>
          <w:rFonts w:cstheme="minorHAnsi"/>
          <w:sz w:val="24"/>
          <w:szCs w:val="24"/>
        </w:rPr>
        <w:t xml:space="preserve"> </w:t>
      </w:r>
      <w:r w:rsidRPr="00A32A40">
        <w:rPr>
          <w:rFonts w:cstheme="minorHAnsi"/>
          <w:sz w:val="24"/>
          <w:szCs w:val="24"/>
        </w:rPr>
        <w:t xml:space="preserve">of three (3) persons </w:t>
      </w:r>
      <w:r>
        <w:rPr>
          <w:rFonts w:cstheme="minorHAnsi"/>
          <w:sz w:val="24"/>
          <w:szCs w:val="24"/>
        </w:rPr>
        <w:t xml:space="preserve">appointed by the Management Committee </w:t>
      </w:r>
      <w:r w:rsidRPr="00A32A40">
        <w:rPr>
          <w:rFonts w:cstheme="minorHAnsi"/>
          <w:sz w:val="24"/>
          <w:szCs w:val="24"/>
        </w:rPr>
        <w:t>to hear the appeal, all of whom shall have the appropriate experience to deal with such matters.</w:t>
      </w:r>
    </w:p>
    <w:p w14:paraId="45C8B7AB" w14:textId="51C2D963" w:rsidR="00FB35BF" w:rsidRDefault="00064B94" w:rsidP="00064B94">
      <w:pPr>
        <w:pStyle w:val="ListParagraph"/>
        <w:numPr>
          <w:ilvl w:val="0"/>
          <w:numId w:val="34"/>
        </w:numPr>
        <w:spacing w:after="0"/>
        <w:jc w:val="both"/>
        <w:rPr>
          <w:rFonts w:cstheme="minorHAnsi"/>
          <w:sz w:val="24"/>
          <w:szCs w:val="24"/>
        </w:rPr>
      </w:pPr>
      <w:r w:rsidRPr="00064B94">
        <w:rPr>
          <w:rFonts w:cstheme="minorHAnsi"/>
          <w:sz w:val="24"/>
          <w:szCs w:val="24"/>
        </w:rPr>
        <w:t xml:space="preserve">An appellant must seek leave to appeal against the decision of the </w:t>
      </w:r>
      <w:r w:rsidR="00FB35BF">
        <w:rPr>
          <w:rFonts w:cstheme="minorHAnsi"/>
          <w:sz w:val="24"/>
          <w:szCs w:val="24"/>
        </w:rPr>
        <w:t>Complaints Tribunal</w:t>
      </w:r>
      <w:r w:rsidRPr="00064B94">
        <w:rPr>
          <w:rFonts w:cstheme="minorHAnsi"/>
          <w:sz w:val="24"/>
          <w:szCs w:val="24"/>
        </w:rPr>
        <w:t xml:space="preserve"> by applying to the </w:t>
      </w:r>
      <w:r w:rsidR="00FB35BF">
        <w:rPr>
          <w:rFonts w:cstheme="minorHAnsi"/>
          <w:sz w:val="24"/>
          <w:szCs w:val="24"/>
        </w:rPr>
        <w:t>M</w:t>
      </w:r>
      <w:r w:rsidRPr="00064B94">
        <w:rPr>
          <w:rFonts w:cstheme="minorHAnsi"/>
          <w:sz w:val="24"/>
          <w:szCs w:val="24"/>
        </w:rPr>
        <w:t xml:space="preserve">anagement Committee with reasons for the appeal within fourteen (14) days of the decision of the </w:t>
      </w:r>
      <w:r w:rsidR="00FB35BF">
        <w:rPr>
          <w:rFonts w:cstheme="minorHAnsi"/>
          <w:sz w:val="24"/>
          <w:szCs w:val="24"/>
        </w:rPr>
        <w:t>Complaints Tribunal</w:t>
      </w:r>
      <w:r w:rsidRPr="00064B94">
        <w:rPr>
          <w:rFonts w:cstheme="minorHAnsi"/>
          <w:sz w:val="24"/>
          <w:szCs w:val="24"/>
        </w:rPr>
        <w:t>. A Notice of Appeal form is available for this purpose.</w:t>
      </w:r>
    </w:p>
    <w:p w14:paraId="78792B52" w14:textId="77777777" w:rsidR="00FB35BF" w:rsidRDefault="00064B94" w:rsidP="00FB35BF">
      <w:pPr>
        <w:pStyle w:val="ListParagraph"/>
        <w:numPr>
          <w:ilvl w:val="0"/>
          <w:numId w:val="34"/>
        </w:numPr>
        <w:spacing w:after="0"/>
        <w:jc w:val="both"/>
        <w:rPr>
          <w:rFonts w:cstheme="minorHAnsi"/>
          <w:sz w:val="24"/>
          <w:szCs w:val="24"/>
        </w:rPr>
      </w:pPr>
      <w:r w:rsidRPr="00064B94">
        <w:rPr>
          <w:rFonts w:cstheme="minorHAnsi"/>
          <w:sz w:val="24"/>
          <w:szCs w:val="24"/>
        </w:rPr>
        <w:t>An application for leave to appeal shall be lodged with an appeal fee of $100.00, which will be returned if the appeal is upheld.</w:t>
      </w:r>
    </w:p>
    <w:p w14:paraId="109710BF" w14:textId="4977154E" w:rsidR="00064B94" w:rsidRPr="00FB35BF" w:rsidRDefault="00064B94" w:rsidP="00FB35BF">
      <w:pPr>
        <w:pStyle w:val="ListParagraph"/>
        <w:numPr>
          <w:ilvl w:val="0"/>
          <w:numId w:val="34"/>
        </w:numPr>
        <w:spacing w:after="0"/>
        <w:jc w:val="both"/>
        <w:rPr>
          <w:rFonts w:cstheme="minorHAnsi"/>
          <w:sz w:val="24"/>
          <w:szCs w:val="24"/>
        </w:rPr>
      </w:pPr>
      <w:r w:rsidRPr="00FB35BF">
        <w:rPr>
          <w:rFonts w:cstheme="minorHAnsi"/>
          <w:sz w:val="24"/>
          <w:szCs w:val="24"/>
        </w:rPr>
        <w:t>The Management Committee shall decide on whether to grant leave to appeal at the next Management Committee Meeting after the application for leave is submitted.</w:t>
      </w:r>
    </w:p>
    <w:p w14:paraId="08AF012D" w14:textId="77777777" w:rsidR="00064B94" w:rsidRPr="00F1591C" w:rsidRDefault="00064B94" w:rsidP="00F1591C">
      <w:pPr>
        <w:spacing w:after="0" w:line="240" w:lineRule="auto"/>
        <w:rPr>
          <w:rFonts w:cstheme="minorHAnsi"/>
          <w:b/>
          <w:bCs/>
          <w:sz w:val="24"/>
          <w:szCs w:val="24"/>
        </w:rPr>
      </w:pPr>
    </w:p>
    <w:p w14:paraId="44627E36" w14:textId="0F3E5EB3" w:rsidR="006655EA" w:rsidRPr="006655EA" w:rsidRDefault="006655EA" w:rsidP="006655EA">
      <w:pPr>
        <w:spacing w:line="240" w:lineRule="auto"/>
        <w:rPr>
          <w:rFonts w:cstheme="minorHAnsi"/>
          <w:sz w:val="24"/>
          <w:szCs w:val="24"/>
        </w:rPr>
      </w:pPr>
      <w:r w:rsidRPr="006655EA">
        <w:rPr>
          <w:rFonts w:cstheme="minorHAnsi"/>
          <w:sz w:val="24"/>
          <w:szCs w:val="24"/>
        </w:rPr>
        <w:t xml:space="preserve">Individuals and </w:t>
      </w:r>
      <w:proofErr w:type="spellStart"/>
      <w:r w:rsidRPr="006655EA">
        <w:rPr>
          <w:rFonts w:cstheme="minorHAnsi"/>
          <w:sz w:val="24"/>
          <w:szCs w:val="24"/>
        </w:rPr>
        <w:t>organisations</w:t>
      </w:r>
      <w:proofErr w:type="spellEnd"/>
      <w:r w:rsidRPr="006655EA">
        <w:rPr>
          <w:rFonts w:cstheme="minorHAnsi"/>
          <w:sz w:val="24"/>
          <w:szCs w:val="24"/>
        </w:rPr>
        <w:t xml:space="preserve"> may also seek to have their complaint handled by an external agency under anti-discrimination, child protection, criminal or other relevant legislation. </w:t>
      </w:r>
    </w:p>
    <w:p w14:paraId="1190B19D" w14:textId="77777777" w:rsidR="006655EA" w:rsidRPr="00F1591C" w:rsidRDefault="006655EA" w:rsidP="006655EA">
      <w:pPr>
        <w:spacing w:line="240" w:lineRule="auto"/>
        <w:rPr>
          <w:rFonts w:cstheme="minorHAnsi"/>
          <w:b/>
          <w:bCs/>
          <w:sz w:val="24"/>
          <w:szCs w:val="24"/>
        </w:rPr>
      </w:pPr>
      <w:r w:rsidRPr="00F1591C">
        <w:rPr>
          <w:rFonts w:cstheme="minorHAnsi"/>
          <w:b/>
          <w:bCs/>
          <w:sz w:val="24"/>
          <w:szCs w:val="24"/>
          <w:u w:val="single"/>
        </w:rPr>
        <w:t>Improper complaints and victimization</w:t>
      </w:r>
      <w:r w:rsidRPr="00F1591C">
        <w:rPr>
          <w:rFonts w:cstheme="minorHAnsi"/>
          <w:b/>
          <w:bCs/>
          <w:sz w:val="24"/>
          <w:szCs w:val="24"/>
        </w:rPr>
        <w:t xml:space="preserve">.  </w:t>
      </w:r>
    </w:p>
    <w:p w14:paraId="07BCB545" w14:textId="66C3BC63" w:rsidR="006655EA" w:rsidRPr="006655EA" w:rsidRDefault="006655EA" w:rsidP="006655EA">
      <w:pPr>
        <w:spacing w:line="240" w:lineRule="auto"/>
        <w:rPr>
          <w:rFonts w:cstheme="minorHAnsi"/>
          <w:sz w:val="24"/>
          <w:szCs w:val="24"/>
        </w:rPr>
      </w:pPr>
      <w:r w:rsidRPr="006655EA">
        <w:rPr>
          <w:rFonts w:cstheme="minorHAnsi"/>
          <w:sz w:val="24"/>
          <w:szCs w:val="24"/>
        </w:rPr>
        <w:t xml:space="preserve">The SCDBA aims to ensure that our complaints procedure has integrity and is free of unfair repercussions or </w:t>
      </w:r>
      <w:proofErr w:type="spellStart"/>
      <w:r w:rsidRPr="006655EA">
        <w:rPr>
          <w:rFonts w:cstheme="minorHAnsi"/>
          <w:sz w:val="24"/>
          <w:szCs w:val="24"/>
        </w:rPr>
        <w:t>victimisation</w:t>
      </w:r>
      <w:proofErr w:type="spellEnd"/>
      <w:r w:rsidRPr="006655EA">
        <w:rPr>
          <w:rFonts w:cstheme="minorHAnsi"/>
          <w:sz w:val="24"/>
          <w:szCs w:val="24"/>
        </w:rPr>
        <w:t xml:space="preserve"> against any person making a complaint. </w:t>
      </w:r>
    </w:p>
    <w:p w14:paraId="4D6B694E" w14:textId="7E1F071D" w:rsidR="006655EA" w:rsidRPr="006655EA" w:rsidRDefault="006655EA" w:rsidP="006655EA">
      <w:pPr>
        <w:spacing w:line="240" w:lineRule="auto"/>
        <w:rPr>
          <w:rFonts w:cstheme="minorHAnsi"/>
          <w:sz w:val="24"/>
          <w:szCs w:val="24"/>
        </w:rPr>
      </w:pPr>
      <w:r w:rsidRPr="006655EA">
        <w:rPr>
          <w:rFonts w:cstheme="minorHAnsi"/>
          <w:sz w:val="24"/>
          <w:szCs w:val="24"/>
        </w:rPr>
        <w:t xml:space="preserve">We will take all necessary steps to make sure that people involved in a complaint are not </w:t>
      </w:r>
      <w:proofErr w:type="spellStart"/>
      <w:r w:rsidRPr="006655EA">
        <w:rPr>
          <w:rFonts w:cstheme="minorHAnsi"/>
          <w:sz w:val="24"/>
          <w:szCs w:val="24"/>
        </w:rPr>
        <w:t>victimised</w:t>
      </w:r>
      <w:proofErr w:type="spellEnd"/>
      <w:r w:rsidRPr="006655EA">
        <w:rPr>
          <w:rFonts w:cstheme="minorHAnsi"/>
          <w:sz w:val="24"/>
          <w:szCs w:val="24"/>
        </w:rPr>
        <w:t xml:space="preserve">. Disciplinary measures may be undertaken in respect of a person who harasses or </w:t>
      </w:r>
      <w:proofErr w:type="spellStart"/>
      <w:r w:rsidRPr="006655EA">
        <w:rPr>
          <w:rFonts w:cstheme="minorHAnsi"/>
          <w:sz w:val="24"/>
          <w:szCs w:val="24"/>
        </w:rPr>
        <w:t>victimises</w:t>
      </w:r>
      <w:proofErr w:type="spellEnd"/>
      <w:r w:rsidRPr="006655EA">
        <w:rPr>
          <w:rFonts w:cstheme="minorHAnsi"/>
          <w:sz w:val="24"/>
          <w:szCs w:val="24"/>
        </w:rPr>
        <w:t xml:space="preserve"> another person for making a complaint or supporting another person’s complaint. </w:t>
      </w:r>
    </w:p>
    <w:p w14:paraId="1CFD0EA9" w14:textId="3B1A816F" w:rsidR="00064B94" w:rsidRPr="00FB35BF" w:rsidRDefault="006655EA" w:rsidP="006655EA">
      <w:pPr>
        <w:spacing w:line="240" w:lineRule="auto"/>
        <w:rPr>
          <w:rFonts w:cstheme="minorHAnsi"/>
          <w:sz w:val="24"/>
          <w:szCs w:val="24"/>
        </w:rPr>
      </w:pPr>
      <w:r w:rsidRPr="006655EA">
        <w:rPr>
          <w:rFonts w:cstheme="minorHAnsi"/>
          <w:sz w:val="24"/>
          <w:szCs w:val="24"/>
        </w:rPr>
        <w:t xml:space="preserve">If at any point in the complaint handling process at the District or Club level, the relevant governing body considers that a complainant has knowingly made an untrue complaint, or the complaint is malicious or inappropriately intended to cause distress to the respondent, the matter may be referred in writing to their Disciplinary Panel for review and appropriate action, including possible disciplinary action against the complainant. </w:t>
      </w:r>
    </w:p>
    <w:p w14:paraId="06CC8692" w14:textId="6ADF8BA4" w:rsidR="006655EA" w:rsidRPr="00D07F4A" w:rsidRDefault="00D07F4A" w:rsidP="006655EA">
      <w:pPr>
        <w:spacing w:line="240" w:lineRule="auto"/>
        <w:rPr>
          <w:rFonts w:cstheme="minorHAnsi"/>
          <w:b/>
          <w:bCs/>
          <w:sz w:val="24"/>
          <w:szCs w:val="24"/>
          <w:u w:val="single"/>
        </w:rPr>
      </w:pPr>
      <w:r>
        <w:rPr>
          <w:rFonts w:cstheme="minorHAnsi"/>
          <w:b/>
          <w:bCs/>
          <w:sz w:val="24"/>
          <w:szCs w:val="24"/>
          <w:u w:val="single"/>
        </w:rPr>
        <w:t>Mediation</w:t>
      </w:r>
    </w:p>
    <w:p w14:paraId="7C9A5E2B" w14:textId="598E677E" w:rsidR="00A32A40" w:rsidRPr="00A32A40" w:rsidRDefault="006655EA" w:rsidP="00824D5E">
      <w:pPr>
        <w:spacing w:line="240" w:lineRule="auto"/>
        <w:rPr>
          <w:rFonts w:cstheme="minorHAnsi"/>
          <w:sz w:val="24"/>
          <w:szCs w:val="24"/>
        </w:rPr>
      </w:pPr>
      <w:r w:rsidRPr="006655EA">
        <w:rPr>
          <w:rFonts w:cstheme="minorHAnsi"/>
          <w:sz w:val="24"/>
          <w:szCs w:val="24"/>
        </w:rPr>
        <w:t xml:space="preserve">BQ aims to resolve complaints quickly and fairly. Complaints may be resolved by agreement between the people involved with no need for disciplinary action. Mediation is a confidential process that allows those involved in a complaint to discuss the issues or incident in question and come up with mutually agreed solutions. It may occur before or after the investigation of a complaint. If a complainant wishes to resolve the complaint with the help of a mediator, the relevant bodies as per 6.1 will, in consultation with the complainant, arrange for an independent mediator where possible. We will not allow lawyers to participate in the mediation process. </w:t>
      </w:r>
    </w:p>
    <w:p w14:paraId="2792D642" w14:textId="7B8BC3B6" w:rsidR="00585F12" w:rsidRPr="00F70B46" w:rsidRDefault="001F4D28" w:rsidP="00F70B46">
      <w:pPr>
        <w:rPr>
          <w:b/>
          <w:bCs/>
          <w:sz w:val="24"/>
          <w:szCs w:val="24"/>
        </w:rPr>
      </w:pPr>
      <w:r w:rsidRPr="001F4D28">
        <w:rPr>
          <w:b/>
          <w:bCs/>
          <w:sz w:val="24"/>
          <w:szCs w:val="24"/>
        </w:rPr>
        <w:t>THIS POLICY HAS BEEN APPROVED FOR IMPLEMENTATION BY THE SCDBA MANAGEMENT COMMITTEE</w:t>
      </w:r>
    </w:p>
    <w:p w14:paraId="3A97110A" w14:textId="77777777" w:rsidR="00F70B46" w:rsidRDefault="001F4D28" w:rsidP="00F70B46">
      <w:pPr>
        <w:widowControl w:val="0"/>
        <w:spacing w:after="0" w:line="377" w:lineRule="exact"/>
        <w:ind w:left="182"/>
        <w:rPr>
          <w:rFonts w:ascii="Calibri" w:hAnsi="Calibri" w:cs="Calibri"/>
          <w:noProof/>
          <w:color w:val="000000"/>
          <w:spacing w:val="-3"/>
          <w:kern w:val="2"/>
          <w:sz w:val="24"/>
          <w:szCs w:val="24"/>
        </w:rPr>
      </w:pPr>
      <w:r>
        <w:rPr>
          <w:rFonts w:ascii="Calibri" w:hAnsi="Calibri" w:cs="Calibri"/>
          <w:noProof/>
          <w:color w:val="000000"/>
          <w:spacing w:val="-3"/>
          <w:kern w:val="2"/>
          <w:sz w:val="24"/>
          <w:szCs w:val="24"/>
        </w:rPr>
        <w:t xml:space="preserve">Signed </w:t>
      </w:r>
    </w:p>
    <w:p w14:paraId="52C2BD76" w14:textId="215E52B1" w:rsidR="00D24965" w:rsidRPr="00D0372C" w:rsidRDefault="00D24965" w:rsidP="00F70B46">
      <w:pPr>
        <w:widowControl w:val="0"/>
        <w:spacing w:after="0" w:line="377" w:lineRule="exact"/>
        <w:ind w:left="182"/>
        <w:rPr>
          <w:rFonts w:ascii="Calibri" w:hAnsi="Calibri" w:cs="Calibri"/>
          <w:noProof/>
          <w:color w:val="000000"/>
          <w:spacing w:val="-3"/>
          <w:kern w:val="2"/>
          <w:sz w:val="24"/>
          <w:szCs w:val="24"/>
        </w:rPr>
      </w:pPr>
      <w:r w:rsidRPr="00D0372C">
        <w:rPr>
          <w:rFonts w:ascii="Calibri" w:hAnsi="Calibri" w:cs="Calibri"/>
          <w:noProof/>
          <w:color w:val="000000"/>
          <w:spacing w:val="-3"/>
          <w:kern w:val="2"/>
          <w:sz w:val="24"/>
          <w:szCs w:val="24"/>
        </w:rPr>
        <w:t>President SCD</w:t>
      </w:r>
      <w:r w:rsidR="002306D6" w:rsidRPr="00D0372C">
        <w:rPr>
          <w:rFonts w:ascii="Calibri" w:hAnsi="Calibri" w:cs="Calibri"/>
          <w:noProof/>
          <w:color w:val="000000"/>
          <w:spacing w:val="-3"/>
          <w:kern w:val="2"/>
          <w:sz w:val="24"/>
          <w:szCs w:val="24"/>
        </w:rPr>
        <w:t>BA</w:t>
      </w:r>
    </w:p>
    <w:p w14:paraId="3ABDEFF8" w14:textId="12F045F1" w:rsidR="00A10B02" w:rsidRPr="00BF19CE" w:rsidRDefault="001F4D28" w:rsidP="00BF19CE">
      <w:pPr>
        <w:widowControl w:val="0"/>
        <w:spacing w:after="0" w:line="377" w:lineRule="exact"/>
        <w:ind w:left="182"/>
        <w:rPr>
          <w:rFonts w:ascii="Calibri" w:hAnsi="Calibri" w:cs="Calibri"/>
          <w:noProof/>
          <w:color w:val="000000"/>
          <w:spacing w:val="-3"/>
          <w:kern w:val="2"/>
          <w:sz w:val="24"/>
          <w:szCs w:val="24"/>
        </w:rPr>
      </w:pPr>
      <w:r>
        <w:rPr>
          <w:rFonts w:ascii="Calibri" w:hAnsi="Calibri" w:cs="Calibri"/>
          <w:noProof/>
          <w:color w:val="000000"/>
          <w:spacing w:val="-3"/>
          <w:kern w:val="2"/>
          <w:sz w:val="24"/>
          <w:szCs w:val="24"/>
        </w:rPr>
        <w:t xml:space="preserve">Date </w:t>
      </w:r>
    </w:p>
    <w:sectPr w:rsidR="00A10B02" w:rsidRPr="00BF19CE" w:rsidSect="00824D5E">
      <w:type w:val="continuous"/>
      <w:pgSz w:w="11906" w:h="16839"/>
      <w:pgMar w:top="1440" w:right="590" w:bottom="864" w:left="950" w:header="0" w:footer="0" w:gutter="0"/>
      <w:cols w:space="720" w:equalWidth="0">
        <w:col w:w="10366"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60CE" w14:textId="77777777" w:rsidR="00E21704" w:rsidRDefault="00E21704">
      <w:pPr>
        <w:spacing w:after="0" w:line="240" w:lineRule="auto"/>
      </w:pPr>
      <w:r>
        <w:separator/>
      </w:r>
    </w:p>
  </w:endnote>
  <w:endnote w:type="continuationSeparator" w:id="0">
    <w:p w14:paraId="6C2A0216" w14:textId="77777777" w:rsidR="00E21704" w:rsidRDefault="00E2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5664" w14:textId="77777777" w:rsidR="00E21704" w:rsidRDefault="00E21704">
      <w:pPr>
        <w:spacing w:after="0" w:line="240" w:lineRule="auto"/>
      </w:pPr>
      <w:r>
        <w:separator/>
      </w:r>
    </w:p>
  </w:footnote>
  <w:footnote w:type="continuationSeparator" w:id="0">
    <w:p w14:paraId="54D29398" w14:textId="77777777" w:rsidR="00E21704" w:rsidRDefault="00E21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AB"/>
    <w:multiLevelType w:val="hybridMultilevel"/>
    <w:tmpl w:val="FE6C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F758A"/>
    <w:multiLevelType w:val="multilevel"/>
    <w:tmpl w:val="ACC234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44285"/>
    <w:multiLevelType w:val="hybridMultilevel"/>
    <w:tmpl w:val="D04C8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C018F"/>
    <w:multiLevelType w:val="multilevel"/>
    <w:tmpl w:val="D014335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5F3D55"/>
    <w:multiLevelType w:val="multilevel"/>
    <w:tmpl w:val="D014335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AF00B2"/>
    <w:multiLevelType w:val="hybridMultilevel"/>
    <w:tmpl w:val="0ABC2B9C"/>
    <w:lvl w:ilvl="0" w:tplc="67161D4A">
      <w:start w:val="15"/>
      <w:numFmt w:val="bullet"/>
      <w:lvlText w:val=""/>
      <w:lvlJc w:val="left"/>
      <w:pPr>
        <w:ind w:left="780" w:hanging="360"/>
      </w:pPr>
      <w:rPr>
        <w:rFonts w:ascii="Symbol" w:eastAsiaTheme="minorEastAsia"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2043A08"/>
    <w:multiLevelType w:val="hybridMultilevel"/>
    <w:tmpl w:val="CAACD614"/>
    <w:lvl w:ilvl="0" w:tplc="0B9E31CC">
      <w:start w:val="1"/>
      <w:numFmt w:val="decimal"/>
      <w:lvlText w:val="%1."/>
      <w:lvlJc w:val="left"/>
      <w:pPr>
        <w:ind w:left="1210" w:hanging="360"/>
      </w:pPr>
      <w:rPr>
        <w:rFonts w:hint="default"/>
      </w:rPr>
    </w:lvl>
    <w:lvl w:ilvl="1" w:tplc="0C090019">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7" w15:restartNumberingAfterBreak="0">
    <w:nsid w:val="26A55320"/>
    <w:multiLevelType w:val="hybridMultilevel"/>
    <w:tmpl w:val="9864B1A4"/>
    <w:lvl w:ilvl="0" w:tplc="12CC5A16">
      <w:start w:val="1"/>
      <w:numFmt w:val="lowerLetter"/>
      <w:lvlText w:val="(%1)"/>
      <w:lvlJc w:val="left"/>
      <w:pPr>
        <w:ind w:left="1920" w:hanging="360"/>
      </w:pPr>
      <w:rPr>
        <w:rFonts w:hint="default"/>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28503096"/>
    <w:multiLevelType w:val="hybridMultilevel"/>
    <w:tmpl w:val="656C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154F7"/>
    <w:multiLevelType w:val="multilevel"/>
    <w:tmpl w:val="302A447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CE53E5"/>
    <w:multiLevelType w:val="hybridMultilevel"/>
    <w:tmpl w:val="24F2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711E0"/>
    <w:multiLevelType w:val="multilevel"/>
    <w:tmpl w:val="45B4712E"/>
    <w:lvl w:ilvl="0">
      <w:start w:val="4"/>
      <w:numFmt w:val="decimal"/>
      <w:lvlText w:val="%1"/>
      <w:lvlJc w:val="left"/>
      <w:pPr>
        <w:ind w:left="480" w:hanging="480"/>
      </w:pPr>
      <w:rPr>
        <w:rFonts w:hint="default"/>
      </w:rPr>
    </w:lvl>
    <w:lvl w:ilvl="1">
      <w:start w:val="1"/>
      <w:numFmt w:val="decimal"/>
      <w:lvlText w:val="%1.%2"/>
      <w:lvlJc w:val="left"/>
      <w:pPr>
        <w:ind w:left="1530" w:hanging="480"/>
      </w:pPr>
      <w:rPr>
        <w:rFonts w:hint="default"/>
      </w:rPr>
    </w:lvl>
    <w:lvl w:ilvl="2">
      <w:start w:val="2"/>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2" w15:restartNumberingAfterBreak="0">
    <w:nsid w:val="34C525EE"/>
    <w:multiLevelType w:val="hybridMultilevel"/>
    <w:tmpl w:val="BCD27954"/>
    <w:lvl w:ilvl="0" w:tplc="D52CB826">
      <w:start w:val="1"/>
      <w:numFmt w:val="lowerLetter"/>
      <w:lvlText w:val="(%1)"/>
      <w:lvlJc w:val="left"/>
      <w:pPr>
        <w:ind w:left="3487" w:hanging="360"/>
      </w:pPr>
      <w:rPr>
        <w:rFonts w:hint="default"/>
      </w:rPr>
    </w:lvl>
    <w:lvl w:ilvl="1" w:tplc="08090019" w:tentative="1">
      <w:start w:val="1"/>
      <w:numFmt w:val="lowerLetter"/>
      <w:lvlText w:val="%2."/>
      <w:lvlJc w:val="left"/>
      <w:pPr>
        <w:ind w:left="3547" w:hanging="360"/>
      </w:pPr>
    </w:lvl>
    <w:lvl w:ilvl="2" w:tplc="0809001B" w:tentative="1">
      <w:start w:val="1"/>
      <w:numFmt w:val="lowerRoman"/>
      <w:lvlText w:val="%3."/>
      <w:lvlJc w:val="right"/>
      <w:pPr>
        <w:ind w:left="4267" w:hanging="180"/>
      </w:pPr>
    </w:lvl>
    <w:lvl w:ilvl="3" w:tplc="0809000F" w:tentative="1">
      <w:start w:val="1"/>
      <w:numFmt w:val="decimal"/>
      <w:lvlText w:val="%4."/>
      <w:lvlJc w:val="left"/>
      <w:pPr>
        <w:ind w:left="4987" w:hanging="360"/>
      </w:pPr>
    </w:lvl>
    <w:lvl w:ilvl="4" w:tplc="08090019" w:tentative="1">
      <w:start w:val="1"/>
      <w:numFmt w:val="lowerLetter"/>
      <w:lvlText w:val="%5."/>
      <w:lvlJc w:val="left"/>
      <w:pPr>
        <w:ind w:left="5707" w:hanging="360"/>
      </w:pPr>
    </w:lvl>
    <w:lvl w:ilvl="5" w:tplc="0809001B" w:tentative="1">
      <w:start w:val="1"/>
      <w:numFmt w:val="lowerRoman"/>
      <w:lvlText w:val="%6."/>
      <w:lvlJc w:val="right"/>
      <w:pPr>
        <w:ind w:left="6427" w:hanging="180"/>
      </w:pPr>
    </w:lvl>
    <w:lvl w:ilvl="6" w:tplc="0809000F" w:tentative="1">
      <w:start w:val="1"/>
      <w:numFmt w:val="decimal"/>
      <w:lvlText w:val="%7."/>
      <w:lvlJc w:val="left"/>
      <w:pPr>
        <w:ind w:left="7147" w:hanging="360"/>
      </w:pPr>
    </w:lvl>
    <w:lvl w:ilvl="7" w:tplc="08090019" w:tentative="1">
      <w:start w:val="1"/>
      <w:numFmt w:val="lowerLetter"/>
      <w:lvlText w:val="%8."/>
      <w:lvlJc w:val="left"/>
      <w:pPr>
        <w:ind w:left="7867" w:hanging="360"/>
      </w:pPr>
    </w:lvl>
    <w:lvl w:ilvl="8" w:tplc="0809001B" w:tentative="1">
      <w:start w:val="1"/>
      <w:numFmt w:val="lowerRoman"/>
      <w:lvlText w:val="%9."/>
      <w:lvlJc w:val="right"/>
      <w:pPr>
        <w:ind w:left="8587" w:hanging="180"/>
      </w:pPr>
    </w:lvl>
  </w:abstractNum>
  <w:abstractNum w:abstractNumId="13" w15:restartNumberingAfterBreak="0">
    <w:nsid w:val="34F60311"/>
    <w:multiLevelType w:val="multilevel"/>
    <w:tmpl w:val="302A447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142939"/>
    <w:multiLevelType w:val="multilevel"/>
    <w:tmpl w:val="302A447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C603A"/>
    <w:multiLevelType w:val="multilevel"/>
    <w:tmpl w:val="D2E42864"/>
    <w:lvl w:ilvl="0">
      <w:start w:val="4"/>
      <w:numFmt w:val="decimal"/>
      <w:lvlText w:val="%1"/>
      <w:lvlJc w:val="left"/>
      <w:pPr>
        <w:ind w:left="1980" w:hanging="1980"/>
      </w:pPr>
      <w:rPr>
        <w:rFonts w:hint="default"/>
      </w:rPr>
    </w:lvl>
    <w:lvl w:ilvl="1">
      <w:start w:val="8"/>
      <w:numFmt w:val="decimal"/>
      <w:lvlText w:val="%1.%2"/>
      <w:lvlJc w:val="left"/>
      <w:pPr>
        <w:ind w:left="3030" w:hanging="1980"/>
      </w:pPr>
      <w:rPr>
        <w:rFonts w:hint="default"/>
      </w:rPr>
    </w:lvl>
    <w:lvl w:ilvl="2">
      <w:start w:val="1"/>
      <w:numFmt w:val="decimal"/>
      <w:lvlText w:val="%1.%2.%3"/>
      <w:lvlJc w:val="left"/>
      <w:pPr>
        <w:ind w:left="4440" w:hanging="2340"/>
      </w:pPr>
      <w:rPr>
        <w:rFonts w:hint="default"/>
      </w:rPr>
    </w:lvl>
    <w:lvl w:ilvl="3">
      <w:start w:val="1"/>
      <w:numFmt w:val="decimal"/>
      <w:lvlText w:val="%1.%2.%3.%4"/>
      <w:lvlJc w:val="left"/>
      <w:pPr>
        <w:ind w:left="5490" w:hanging="2340"/>
      </w:pPr>
      <w:rPr>
        <w:rFonts w:hint="default"/>
      </w:rPr>
    </w:lvl>
    <w:lvl w:ilvl="4">
      <w:start w:val="1"/>
      <w:numFmt w:val="decimal"/>
      <w:lvlText w:val="%1.%2.%3.%4.%5"/>
      <w:lvlJc w:val="left"/>
      <w:pPr>
        <w:ind w:left="6900" w:hanging="2700"/>
      </w:pPr>
      <w:rPr>
        <w:rFonts w:hint="default"/>
      </w:rPr>
    </w:lvl>
    <w:lvl w:ilvl="5">
      <w:start w:val="1"/>
      <w:numFmt w:val="decimal"/>
      <w:lvlText w:val="%1.%2.%3.%4.%5.%6"/>
      <w:lvlJc w:val="left"/>
      <w:pPr>
        <w:ind w:left="7950" w:hanging="2700"/>
      </w:pPr>
      <w:rPr>
        <w:rFonts w:hint="default"/>
      </w:rPr>
    </w:lvl>
    <w:lvl w:ilvl="6">
      <w:start w:val="1"/>
      <w:numFmt w:val="decimal"/>
      <w:lvlText w:val="%1.%2.%3.%4.%5.%6.%7"/>
      <w:lvlJc w:val="left"/>
      <w:pPr>
        <w:ind w:left="9360" w:hanging="3060"/>
      </w:pPr>
      <w:rPr>
        <w:rFonts w:hint="default"/>
      </w:rPr>
    </w:lvl>
    <w:lvl w:ilvl="7">
      <w:start w:val="1"/>
      <w:numFmt w:val="decimal"/>
      <w:lvlText w:val="%1.%2.%3.%4.%5.%6.%7.%8"/>
      <w:lvlJc w:val="left"/>
      <w:pPr>
        <w:ind w:left="10410" w:hanging="3060"/>
      </w:pPr>
      <w:rPr>
        <w:rFonts w:hint="default"/>
      </w:rPr>
    </w:lvl>
    <w:lvl w:ilvl="8">
      <w:start w:val="1"/>
      <w:numFmt w:val="decimal"/>
      <w:lvlText w:val="%1.%2.%3.%4.%5.%6.%7.%8.%9"/>
      <w:lvlJc w:val="left"/>
      <w:pPr>
        <w:ind w:left="11820" w:hanging="3420"/>
      </w:pPr>
      <w:rPr>
        <w:rFonts w:hint="default"/>
      </w:rPr>
    </w:lvl>
  </w:abstractNum>
  <w:abstractNum w:abstractNumId="16" w15:restartNumberingAfterBreak="0">
    <w:nsid w:val="3F295032"/>
    <w:multiLevelType w:val="hybridMultilevel"/>
    <w:tmpl w:val="97C0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420C1"/>
    <w:multiLevelType w:val="multilevel"/>
    <w:tmpl w:val="AB22D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F75423"/>
    <w:multiLevelType w:val="multilevel"/>
    <w:tmpl w:val="E32EF614"/>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5BFE74D1"/>
    <w:multiLevelType w:val="hybridMultilevel"/>
    <w:tmpl w:val="815892B4"/>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0" w15:restartNumberingAfterBreak="0">
    <w:nsid w:val="5FCD1741"/>
    <w:multiLevelType w:val="hybridMultilevel"/>
    <w:tmpl w:val="F7DC6EAE"/>
    <w:lvl w:ilvl="0" w:tplc="D52CB826">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1" w15:restartNumberingAfterBreak="0">
    <w:nsid w:val="604635D0"/>
    <w:multiLevelType w:val="multilevel"/>
    <w:tmpl w:val="373C40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4F63CD"/>
    <w:multiLevelType w:val="multilevel"/>
    <w:tmpl w:val="E32EF614"/>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6363095B"/>
    <w:multiLevelType w:val="multilevel"/>
    <w:tmpl w:val="D014335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40B4D59"/>
    <w:multiLevelType w:val="multilevel"/>
    <w:tmpl w:val="5ED6B6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AE3703"/>
    <w:multiLevelType w:val="hybridMultilevel"/>
    <w:tmpl w:val="CCE2A0FC"/>
    <w:lvl w:ilvl="0" w:tplc="979479BE">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C43F9"/>
    <w:multiLevelType w:val="hybridMultilevel"/>
    <w:tmpl w:val="12884B32"/>
    <w:lvl w:ilvl="0" w:tplc="0478D56C">
      <w:start w:val="1"/>
      <w:numFmt w:val="lowerLetter"/>
      <w:lvlText w:val="(%1)"/>
      <w:lvlJc w:val="lef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27" w15:restartNumberingAfterBreak="0">
    <w:nsid w:val="68EF5EB7"/>
    <w:multiLevelType w:val="multilevel"/>
    <w:tmpl w:val="CBB20868"/>
    <w:lvl w:ilvl="0">
      <w:start w:val="1"/>
      <w:numFmt w:val="decimal"/>
      <w:lvlText w:val="%1."/>
      <w:lvlJc w:val="left"/>
      <w:pPr>
        <w:ind w:left="11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160" w:hanging="1080"/>
      </w:pPr>
      <w:rPr>
        <w:rFonts w:hint="default"/>
      </w:rPr>
    </w:lvl>
    <w:lvl w:ilvl="6">
      <w:start w:val="1"/>
      <w:numFmt w:val="decimal"/>
      <w:isLgl/>
      <w:lvlText w:val="%1.%2.%3.%4.%5.%6.%7"/>
      <w:lvlJc w:val="left"/>
      <w:pPr>
        <w:ind w:left="618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860" w:hanging="1800"/>
      </w:pPr>
      <w:rPr>
        <w:rFonts w:hint="default"/>
      </w:rPr>
    </w:lvl>
  </w:abstractNum>
  <w:abstractNum w:abstractNumId="28" w15:restartNumberingAfterBreak="0">
    <w:nsid w:val="69825E14"/>
    <w:multiLevelType w:val="hybridMultilevel"/>
    <w:tmpl w:val="C338E5D4"/>
    <w:lvl w:ilvl="0" w:tplc="8F58B9FE">
      <w:start w:val="1"/>
      <w:numFmt w:val="lowerLetter"/>
      <w:lvlText w:val="(%1)"/>
      <w:lvlJc w:val="left"/>
      <w:pPr>
        <w:ind w:left="2220" w:hanging="360"/>
      </w:pPr>
      <w:rPr>
        <w:rFonts w:hint="default"/>
      </w:rPr>
    </w:lvl>
    <w:lvl w:ilvl="1" w:tplc="0C090019">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29" w15:restartNumberingAfterBreak="0">
    <w:nsid w:val="69A53D6C"/>
    <w:multiLevelType w:val="hybridMultilevel"/>
    <w:tmpl w:val="3316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2592F"/>
    <w:multiLevelType w:val="hybridMultilevel"/>
    <w:tmpl w:val="CF6ACAB8"/>
    <w:lvl w:ilvl="0" w:tplc="F6CCB8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3206469"/>
    <w:multiLevelType w:val="multilevel"/>
    <w:tmpl w:val="ACC234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533434"/>
    <w:multiLevelType w:val="multilevel"/>
    <w:tmpl w:val="D2E42864"/>
    <w:lvl w:ilvl="0">
      <w:start w:val="4"/>
      <w:numFmt w:val="decimal"/>
      <w:lvlText w:val="%1"/>
      <w:lvlJc w:val="left"/>
      <w:pPr>
        <w:ind w:left="1980" w:hanging="1980"/>
      </w:pPr>
      <w:rPr>
        <w:rFonts w:hint="default"/>
      </w:rPr>
    </w:lvl>
    <w:lvl w:ilvl="1">
      <w:start w:val="8"/>
      <w:numFmt w:val="decimal"/>
      <w:lvlText w:val="%1.%2"/>
      <w:lvlJc w:val="left"/>
      <w:pPr>
        <w:ind w:left="3030" w:hanging="1980"/>
      </w:pPr>
      <w:rPr>
        <w:rFonts w:hint="default"/>
      </w:rPr>
    </w:lvl>
    <w:lvl w:ilvl="2">
      <w:start w:val="1"/>
      <w:numFmt w:val="decimal"/>
      <w:lvlText w:val="%1.%2.%3"/>
      <w:lvlJc w:val="left"/>
      <w:pPr>
        <w:ind w:left="4440" w:hanging="2340"/>
      </w:pPr>
      <w:rPr>
        <w:rFonts w:hint="default"/>
      </w:rPr>
    </w:lvl>
    <w:lvl w:ilvl="3">
      <w:start w:val="1"/>
      <w:numFmt w:val="decimal"/>
      <w:lvlText w:val="%1.%2.%3.%4"/>
      <w:lvlJc w:val="left"/>
      <w:pPr>
        <w:ind w:left="5490" w:hanging="2340"/>
      </w:pPr>
      <w:rPr>
        <w:rFonts w:hint="default"/>
      </w:rPr>
    </w:lvl>
    <w:lvl w:ilvl="4">
      <w:start w:val="1"/>
      <w:numFmt w:val="decimal"/>
      <w:lvlText w:val="%1.%2.%3.%4.%5"/>
      <w:lvlJc w:val="left"/>
      <w:pPr>
        <w:ind w:left="6900" w:hanging="2700"/>
      </w:pPr>
      <w:rPr>
        <w:rFonts w:hint="default"/>
      </w:rPr>
    </w:lvl>
    <w:lvl w:ilvl="5">
      <w:start w:val="1"/>
      <w:numFmt w:val="decimal"/>
      <w:lvlText w:val="%1.%2.%3.%4.%5.%6"/>
      <w:lvlJc w:val="left"/>
      <w:pPr>
        <w:ind w:left="7950" w:hanging="2700"/>
      </w:pPr>
      <w:rPr>
        <w:rFonts w:hint="default"/>
      </w:rPr>
    </w:lvl>
    <w:lvl w:ilvl="6">
      <w:start w:val="1"/>
      <w:numFmt w:val="decimal"/>
      <w:lvlText w:val="%1.%2.%3.%4.%5.%6.%7"/>
      <w:lvlJc w:val="left"/>
      <w:pPr>
        <w:ind w:left="9360" w:hanging="3060"/>
      </w:pPr>
      <w:rPr>
        <w:rFonts w:hint="default"/>
      </w:rPr>
    </w:lvl>
    <w:lvl w:ilvl="7">
      <w:start w:val="1"/>
      <w:numFmt w:val="decimal"/>
      <w:lvlText w:val="%1.%2.%3.%4.%5.%6.%7.%8"/>
      <w:lvlJc w:val="left"/>
      <w:pPr>
        <w:ind w:left="10410" w:hanging="3060"/>
      </w:pPr>
      <w:rPr>
        <w:rFonts w:hint="default"/>
      </w:rPr>
    </w:lvl>
    <w:lvl w:ilvl="8">
      <w:start w:val="1"/>
      <w:numFmt w:val="decimal"/>
      <w:lvlText w:val="%1.%2.%3.%4.%5.%6.%7.%8.%9"/>
      <w:lvlJc w:val="left"/>
      <w:pPr>
        <w:ind w:left="11820" w:hanging="3420"/>
      </w:pPr>
      <w:rPr>
        <w:rFonts w:hint="default"/>
      </w:rPr>
    </w:lvl>
  </w:abstractNum>
  <w:abstractNum w:abstractNumId="33" w15:restartNumberingAfterBreak="0">
    <w:nsid w:val="7C674023"/>
    <w:multiLevelType w:val="hybridMultilevel"/>
    <w:tmpl w:val="C7F0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325590">
    <w:abstractNumId w:val="5"/>
  </w:num>
  <w:num w:numId="2" w16cid:durableId="964966305">
    <w:abstractNumId w:val="33"/>
  </w:num>
  <w:num w:numId="3" w16cid:durableId="1719744830">
    <w:abstractNumId w:val="0"/>
  </w:num>
  <w:num w:numId="4" w16cid:durableId="2048600293">
    <w:abstractNumId w:val="30"/>
  </w:num>
  <w:num w:numId="5" w16cid:durableId="418596802">
    <w:abstractNumId w:val="6"/>
  </w:num>
  <w:num w:numId="6" w16cid:durableId="496002307">
    <w:abstractNumId w:val="18"/>
  </w:num>
  <w:num w:numId="7" w16cid:durableId="1826631068">
    <w:abstractNumId w:val="26"/>
  </w:num>
  <w:num w:numId="8" w16cid:durableId="2095129838">
    <w:abstractNumId w:val="28"/>
  </w:num>
  <w:num w:numId="9" w16cid:durableId="142813816">
    <w:abstractNumId w:val="20"/>
  </w:num>
  <w:num w:numId="10" w16cid:durableId="1825120123">
    <w:abstractNumId w:val="19"/>
  </w:num>
  <w:num w:numId="11" w16cid:durableId="782378515">
    <w:abstractNumId w:val="11"/>
  </w:num>
  <w:num w:numId="12" w16cid:durableId="1883515720">
    <w:abstractNumId w:val="12"/>
  </w:num>
  <w:num w:numId="13" w16cid:durableId="1734427869">
    <w:abstractNumId w:val="15"/>
  </w:num>
  <w:num w:numId="14" w16cid:durableId="1281911571">
    <w:abstractNumId w:val="32"/>
  </w:num>
  <w:num w:numId="15" w16cid:durableId="365369829">
    <w:abstractNumId w:val="7"/>
  </w:num>
  <w:num w:numId="16" w16cid:durableId="1418165945">
    <w:abstractNumId w:val="22"/>
  </w:num>
  <w:num w:numId="17" w16cid:durableId="667944352">
    <w:abstractNumId w:val="2"/>
  </w:num>
  <w:num w:numId="18" w16cid:durableId="1531648917">
    <w:abstractNumId w:val="27"/>
  </w:num>
  <w:num w:numId="19" w16cid:durableId="282268690">
    <w:abstractNumId w:val="24"/>
  </w:num>
  <w:num w:numId="20" w16cid:durableId="1800224812">
    <w:abstractNumId w:val="3"/>
  </w:num>
  <w:num w:numId="21" w16cid:durableId="1202328916">
    <w:abstractNumId w:val="23"/>
  </w:num>
  <w:num w:numId="22" w16cid:durableId="86970584">
    <w:abstractNumId w:val="17"/>
  </w:num>
  <w:num w:numId="23" w16cid:durableId="223218054">
    <w:abstractNumId w:val="4"/>
  </w:num>
  <w:num w:numId="24" w16cid:durableId="625888539">
    <w:abstractNumId w:val="21"/>
  </w:num>
  <w:num w:numId="25" w16cid:durableId="1708751150">
    <w:abstractNumId w:val="14"/>
  </w:num>
  <w:num w:numId="26" w16cid:durableId="812453839">
    <w:abstractNumId w:val="10"/>
  </w:num>
  <w:num w:numId="27" w16cid:durableId="886183858">
    <w:abstractNumId w:val="9"/>
  </w:num>
  <w:num w:numId="28" w16cid:durableId="2040474337">
    <w:abstractNumId w:val="13"/>
  </w:num>
  <w:num w:numId="29" w16cid:durableId="1439451549">
    <w:abstractNumId w:val="31"/>
  </w:num>
  <w:num w:numId="30" w16cid:durableId="1001156018">
    <w:abstractNumId w:val="1"/>
  </w:num>
  <w:num w:numId="31" w16cid:durableId="2086225082">
    <w:abstractNumId w:val="25"/>
  </w:num>
  <w:num w:numId="32" w16cid:durableId="908001697">
    <w:abstractNumId w:val="8"/>
  </w:num>
  <w:num w:numId="33" w16cid:durableId="976451020">
    <w:abstractNumId w:val="29"/>
  </w:num>
  <w:num w:numId="34" w16cid:durableId="20291384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2F"/>
    <w:rsid w:val="00030906"/>
    <w:rsid w:val="00064B94"/>
    <w:rsid w:val="000766CC"/>
    <w:rsid w:val="00077986"/>
    <w:rsid w:val="000A14FC"/>
    <w:rsid w:val="000A2977"/>
    <w:rsid w:val="000E4125"/>
    <w:rsid w:val="000E7780"/>
    <w:rsid w:val="000F202F"/>
    <w:rsid w:val="000F3A0F"/>
    <w:rsid w:val="00111467"/>
    <w:rsid w:val="00124538"/>
    <w:rsid w:val="00135F12"/>
    <w:rsid w:val="00154D35"/>
    <w:rsid w:val="00160325"/>
    <w:rsid w:val="0016767C"/>
    <w:rsid w:val="0018745C"/>
    <w:rsid w:val="001E2BDA"/>
    <w:rsid w:val="001F4D28"/>
    <w:rsid w:val="00212F34"/>
    <w:rsid w:val="002205CB"/>
    <w:rsid w:val="002248CC"/>
    <w:rsid w:val="002306D6"/>
    <w:rsid w:val="002561B6"/>
    <w:rsid w:val="002627A8"/>
    <w:rsid w:val="002C3911"/>
    <w:rsid w:val="002C4BB1"/>
    <w:rsid w:val="002F0AAC"/>
    <w:rsid w:val="00307F44"/>
    <w:rsid w:val="00316DB1"/>
    <w:rsid w:val="00320480"/>
    <w:rsid w:val="00325E2F"/>
    <w:rsid w:val="00362EA6"/>
    <w:rsid w:val="00382EBD"/>
    <w:rsid w:val="003B6EBA"/>
    <w:rsid w:val="003C440A"/>
    <w:rsid w:val="003C6FBA"/>
    <w:rsid w:val="003E1461"/>
    <w:rsid w:val="003F6DF8"/>
    <w:rsid w:val="004056C9"/>
    <w:rsid w:val="00436DF8"/>
    <w:rsid w:val="00455A95"/>
    <w:rsid w:val="004961E4"/>
    <w:rsid w:val="004B71BF"/>
    <w:rsid w:val="004E3664"/>
    <w:rsid w:val="00527E5F"/>
    <w:rsid w:val="00542BD6"/>
    <w:rsid w:val="00585F12"/>
    <w:rsid w:val="005C1541"/>
    <w:rsid w:val="005D295E"/>
    <w:rsid w:val="005F3675"/>
    <w:rsid w:val="00610BAE"/>
    <w:rsid w:val="00612256"/>
    <w:rsid w:val="00612269"/>
    <w:rsid w:val="00614D6D"/>
    <w:rsid w:val="00653833"/>
    <w:rsid w:val="00655741"/>
    <w:rsid w:val="006655EA"/>
    <w:rsid w:val="00673DE6"/>
    <w:rsid w:val="006A6434"/>
    <w:rsid w:val="006A74F0"/>
    <w:rsid w:val="0077351B"/>
    <w:rsid w:val="007B2D33"/>
    <w:rsid w:val="007C0797"/>
    <w:rsid w:val="007D5551"/>
    <w:rsid w:val="007F1C1F"/>
    <w:rsid w:val="00807C43"/>
    <w:rsid w:val="00815A23"/>
    <w:rsid w:val="00822F67"/>
    <w:rsid w:val="00824D5E"/>
    <w:rsid w:val="008312C8"/>
    <w:rsid w:val="00871F21"/>
    <w:rsid w:val="008D789B"/>
    <w:rsid w:val="008F4846"/>
    <w:rsid w:val="009428C5"/>
    <w:rsid w:val="009A6E7C"/>
    <w:rsid w:val="009D0BC0"/>
    <w:rsid w:val="009E530B"/>
    <w:rsid w:val="00A10B02"/>
    <w:rsid w:val="00A12D4A"/>
    <w:rsid w:val="00A134DC"/>
    <w:rsid w:val="00A32A40"/>
    <w:rsid w:val="00A41E47"/>
    <w:rsid w:val="00A71821"/>
    <w:rsid w:val="00A842A8"/>
    <w:rsid w:val="00A90B08"/>
    <w:rsid w:val="00A9617B"/>
    <w:rsid w:val="00AC1145"/>
    <w:rsid w:val="00B65B8C"/>
    <w:rsid w:val="00B77390"/>
    <w:rsid w:val="00BA248B"/>
    <w:rsid w:val="00BC0726"/>
    <w:rsid w:val="00BD0834"/>
    <w:rsid w:val="00BF0AC5"/>
    <w:rsid w:val="00BF19CE"/>
    <w:rsid w:val="00C15281"/>
    <w:rsid w:val="00C1732D"/>
    <w:rsid w:val="00C31E13"/>
    <w:rsid w:val="00C42779"/>
    <w:rsid w:val="00C843AF"/>
    <w:rsid w:val="00CA5D20"/>
    <w:rsid w:val="00D0372C"/>
    <w:rsid w:val="00D07F4A"/>
    <w:rsid w:val="00D14842"/>
    <w:rsid w:val="00D24965"/>
    <w:rsid w:val="00D32390"/>
    <w:rsid w:val="00D427B7"/>
    <w:rsid w:val="00D5069E"/>
    <w:rsid w:val="00D9345D"/>
    <w:rsid w:val="00E21704"/>
    <w:rsid w:val="00E26B22"/>
    <w:rsid w:val="00E345FE"/>
    <w:rsid w:val="00E42BCF"/>
    <w:rsid w:val="00E443C7"/>
    <w:rsid w:val="00E47EAC"/>
    <w:rsid w:val="00EE377A"/>
    <w:rsid w:val="00F11186"/>
    <w:rsid w:val="00F1591C"/>
    <w:rsid w:val="00F40B06"/>
    <w:rsid w:val="00F43498"/>
    <w:rsid w:val="00F70B46"/>
    <w:rsid w:val="00F8258D"/>
    <w:rsid w:val="00FA1F68"/>
    <w:rsid w:val="00FB2A30"/>
    <w:rsid w:val="00FB35BF"/>
    <w:rsid w:val="00FB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99FD1"/>
  <w15:docId w15:val="{0E223DF5-FEC7-42A6-911D-F1042458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BF"/>
  </w:style>
  <w:style w:type="paragraph" w:styleId="Heading1">
    <w:name w:val="heading 1"/>
    <w:basedOn w:val="Normal"/>
    <w:next w:val="Normal"/>
    <w:link w:val="Heading1Char"/>
    <w:uiPriority w:val="9"/>
    <w:qFormat/>
    <w:rsid w:val="004B71BF"/>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B71B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B71B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B71B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B71B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B71B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B71B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B71B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B71B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themeColor="hyperlink"/>
      <w:u w:val="single"/>
    </w:rPr>
  </w:style>
  <w:style w:type="character" w:customStyle="1" w:styleId="Heading1Char">
    <w:name w:val="Heading 1 Char"/>
    <w:basedOn w:val="DefaultParagraphFont"/>
    <w:link w:val="Heading1"/>
    <w:uiPriority w:val="9"/>
    <w:rsid w:val="004B71B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B71B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B71B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B71B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B71B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B71B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B71B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B71B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B71BF"/>
    <w:rPr>
      <w:b/>
      <w:bCs/>
      <w:i/>
      <w:iCs/>
    </w:rPr>
  </w:style>
  <w:style w:type="paragraph" w:styleId="Caption">
    <w:name w:val="caption"/>
    <w:basedOn w:val="Normal"/>
    <w:next w:val="Normal"/>
    <w:uiPriority w:val="35"/>
    <w:semiHidden/>
    <w:unhideWhenUsed/>
    <w:qFormat/>
    <w:rsid w:val="004B71B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B71BF"/>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4B71BF"/>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4B71BF"/>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4B71BF"/>
    <w:rPr>
      <w:color w:val="1F497D" w:themeColor="text2"/>
      <w:sz w:val="28"/>
      <w:szCs w:val="28"/>
    </w:rPr>
  </w:style>
  <w:style w:type="character" w:styleId="Strong">
    <w:name w:val="Strong"/>
    <w:basedOn w:val="DefaultParagraphFont"/>
    <w:uiPriority w:val="22"/>
    <w:qFormat/>
    <w:rsid w:val="004B71BF"/>
    <w:rPr>
      <w:b/>
      <w:bCs/>
    </w:rPr>
  </w:style>
  <w:style w:type="character" w:styleId="Emphasis">
    <w:name w:val="Emphasis"/>
    <w:basedOn w:val="DefaultParagraphFont"/>
    <w:uiPriority w:val="20"/>
    <w:qFormat/>
    <w:rsid w:val="004B71BF"/>
    <w:rPr>
      <w:i/>
      <w:iCs/>
      <w:color w:val="000000" w:themeColor="text1"/>
    </w:rPr>
  </w:style>
  <w:style w:type="paragraph" w:styleId="NoSpacing">
    <w:name w:val="No Spacing"/>
    <w:uiPriority w:val="1"/>
    <w:qFormat/>
    <w:rsid w:val="004B71BF"/>
    <w:pPr>
      <w:spacing w:after="0" w:line="240" w:lineRule="auto"/>
    </w:pPr>
  </w:style>
  <w:style w:type="paragraph" w:styleId="Quote">
    <w:name w:val="Quote"/>
    <w:basedOn w:val="Normal"/>
    <w:next w:val="Normal"/>
    <w:link w:val="QuoteChar"/>
    <w:uiPriority w:val="29"/>
    <w:qFormat/>
    <w:rsid w:val="004B71BF"/>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4B71BF"/>
    <w:rPr>
      <w:i/>
      <w:iCs/>
      <w:color w:val="76923C" w:themeColor="accent3" w:themeShade="BF"/>
      <w:sz w:val="24"/>
      <w:szCs w:val="24"/>
    </w:rPr>
  </w:style>
  <w:style w:type="paragraph" w:styleId="IntenseQuote">
    <w:name w:val="Intense Quote"/>
    <w:basedOn w:val="Normal"/>
    <w:next w:val="Normal"/>
    <w:link w:val="IntenseQuoteChar"/>
    <w:uiPriority w:val="30"/>
    <w:qFormat/>
    <w:rsid w:val="004B71BF"/>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4B71BF"/>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4B71BF"/>
    <w:rPr>
      <w:i/>
      <w:iCs/>
      <w:color w:val="595959" w:themeColor="text1" w:themeTint="A6"/>
    </w:rPr>
  </w:style>
  <w:style w:type="character" w:styleId="IntenseEmphasis">
    <w:name w:val="Intense Emphasis"/>
    <w:basedOn w:val="DefaultParagraphFont"/>
    <w:uiPriority w:val="21"/>
    <w:qFormat/>
    <w:rsid w:val="004B71BF"/>
    <w:rPr>
      <w:b/>
      <w:bCs/>
      <w:i/>
      <w:iCs/>
      <w:color w:val="auto"/>
    </w:rPr>
  </w:style>
  <w:style w:type="character" w:styleId="SubtleReference">
    <w:name w:val="Subtle Reference"/>
    <w:basedOn w:val="DefaultParagraphFont"/>
    <w:uiPriority w:val="31"/>
    <w:qFormat/>
    <w:rsid w:val="004B71B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71BF"/>
    <w:rPr>
      <w:b/>
      <w:bCs/>
      <w:caps w:val="0"/>
      <w:smallCaps/>
      <w:color w:val="auto"/>
      <w:spacing w:val="0"/>
      <w:u w:val="single"/>
    </w:rPr>
  </w:style>
  <w:style w:type="character" w:styleId="BookTitle">
    <w:name w:val="Book Title"/>
    <w:basedOn w:val="DefaultParagraphFont"/>
    <w:uiPriority w:val="33"/>
    <w:qFormat/>
    <w:rsid w:val="004B71BF"/>
    <w:rPr>
      <w:b/>
      <w:bCs/>
      <w:caps w:val="0"/>
      <w:smallCaps/>
      <w:spacing w:val="0"/>
    </w:rPr>
  </w:style>
  <w:style w:type="paragraph" w:styleId="TOCHeading">
    <w:name w:val="TOC Heading"/>
    <w:basedOn w:val="Heading1"/>
    <w:next w:val="Normal"/>
    <w:uiPriority w:val="39"/>
    <w:semiHidden/>
    <w:unhideWhenUsed/>
    <w:qFormat/>
    <w:rsid w:val="004B71BF"/>
    <w:pPr>
      <w:outlineLvl w:val="9"/>
    </w:pPr>
  </w:style>
  <w:style w:type="paragraph" w:styleId="ListParagraph">
    <w:name w:val="List Paragraph"/>
    <w:basedOn w:val="Normal"/>
    <w:uiPriority w:val="34"/>
    <w:qFormat/>
    <w:rsid w:val="00A71821"/>
    <w:pPr>
      <w:ind w:left="720"/>
      <w:contextualSpacing/>
    </w:pPr>
  </w:style>
  <w:style w:type="paragraph" w:styleId="BalloonText">
    <w:name w:val="Balloon Text"/>
    <w:basedOn w:val="Normal"/>
    <w:link w:val="BalloonTextChar"/>
    <w:uiPriority w:val="99"/>
    <w:semiHidden/>
    <w:unhideWhenUsed/>
    <w:rsid w:val="00E4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3C7"/>
    <w:rPr>
      <w:rFonts w:ascii="Segoe UI" w:hAnsi="Segoe UI" w:cs="Segoe UI"/>
      <w:sz w:val="18"/>
      <w:szCs w:val="18"/>
    </w:rPr>
  </w:style>
  <w:style w:type="character" w:styleId="UnresolvedMention">
    <w:name w:val="Unresolved Mention"/>
    <w:basedOn w:val="DefaultParagraphFont"/>
    <w:uiPriority w:val="99"/>
    <w:semiHidden/>
    <w:unhideWhenUsed/>
    <w:rsid w:val="00362EA6"/>
    <w:rPr>
      <w:color w:val="605E5C"/>
      <w:shd w:val="clear" w:color="auto" w:fill="E1DFDD"/>
    </w:rPr>
  </w:style>
  <w:style w:type="table" w:styleId="TableGrid">
    <w:name w:val="Table Grid"/>
    <w:basedOn w:val="TableNormal"/>
    <w:uiPriority w:val="59"/>
    <w:rsid w:val="003C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5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SCDMBA</dc:creator>
  <cp:keywords/>
  <dc:description/>
  <cp:lastModifiedBy>Bruce angus</cp:lastModifiedBy>
  <cp:revision>2</cp:revision>
  <cp:lastPrinted>2022-01-30T22:14:00Z</cp:lastPrinted>
  <dcterms:created xsi:type="dcterms:W3CDTF">2023-03-29T05:45:00Z</dcterms:created>
  <dcterms:modified xsi:type="dcterms:W3CDTF">2023-03-29T05:45:00Z</dcterms:modified>
</cp:coreProperties>
</file>